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76EEC" w14:textId="4C603F2A" w:rsidR="00F705BE" w:rsidRDefault="00000000">
      <w:pPr>
        <w:spacing w:before="64" w:line="223" w:lineRule="auto"/>
        <w:jc w:val="center"/>
        <w:rPr>
          <w:rFonts w:ascii="黑体" w:eastAsia="黑体" w:hAnsi="黑体" w:cs="黑体" w:hint="eastAsia"/>
          <w:sz w:val="28"/>
          <w:szCs w:val="28"/>
          <w:lang w:eastAsia="zh-CN"/>
        </w:rPr>
      </w:pPr>
      <w:r>
        <w:rPr>
          <w:rFonts w:ascii="黑体" w:eastAsia="黑体" w:hAnsi="黑体" w:cs="黑体" w:hint="eastAsia"/>
          <w:spacing w:val="8"/>
          <w:sz w:val="28"/>
          <w:szCs w:val="28"/>
          <w:lang w:eastAsia="zh-CN"/>
        </w:rPr>
        <w:t>洗涤用品中二牛脂基二甲基氯化铵的测定 液相色谱-质谱法</w:t>
      </w:r>
    </w:p>
    <w:p w14:paraId="3247093C" w14:textId="5574F336" w:rsidR="00F705BE" w:rsidRDefault="00A86A4F">
      <w:pPr>
        <w:spacing w:before="64" w:line="223" w:lineRule="auto"/>
        <w:jc w:val="center"/>
        <w:rPr>
          <w:rFonts w:ascii="黑体" w:eastAsia="黑体" w:hAnsi="黑体" w:cs="黑体" w:hint="eastAsia"/>
          <w:spacing w:val="8"/>
          <w:sz w:val="28"/>
          <w:szCs w:val="28"/>
          <w:lang w:eastAsia="zh-CN"/>
        </w:rPr>
      </w:pPr>
      <w:r>
        <w:rPr>
          <w:rFonts w:ascii="黑体" w:eastAsia="黑体" w:hAnsi="黑体" w:cs="黑体" w:hint="eastAsia"/>
          <w:spacing w:val="8"/>
          <w:sz w:val="28"/>
          <w:szCs w:val="28"/>
          <w:lang w:eastAsia="zh-CN"/>
        </w:rPr>
        <w:t>（</w:t>
      </w:r>
      <w:r w:rsidR="00000000">
        <w:rPr>
          <w:rFonts w:ascii="黑体" w:eastAsia="黑体" w:hAnsi="黑体" w:cs="黑体" w:hint="eastAsia"/>
          <w:spacing w:val="8"/>
          <w:sz w:val="28"/>
          <w:szCs w:val="28"/>
          <w:lang w:eastAsia="zh-CN"/>
        </w:rPr>
        <w:t>征求意见稿</w:t>
      </w:r>
      <w:r>
        <w:rPr>
          <w:rFonts w:ascii="黑体" w:eastAsia="黑体" w:hAnsi="黑体" w:cs="黑体" w:hint="eastAsia"/>
          <w:spacing w:val="8"/>
          <w:sz w:val="28"/>
          <w:szCs w:val="28"/>
          <w:lang w:eastAsia="zh-CN"/>
        </w:rPr>
        <w:t>）</w:t>
      </w:r>
      <w:r w:rsidR="00000000">
        <w:rPr>
          <w:rFonts w:ascii="黑体" w:eastAsia="黑体" w:hAnsi="黑体" w:cs="黑体" w:hint="eastAsia"/>
          <w:spacing w:val="8"/>
          <w:sz w:val="28"/>
          <w:szCs w:val="28"/>
          <w:lang w:eastAsia="zh-CN"/>
        </w:rPr>
        <w:t>编制说明</w:t>
      </w:r>
    </w:p>
    <w:p w14:paraId="6A3A10CC" w14:textId="77777777" w:rsidR="00F705BE" w:rsidRDefault="00F705BE">
      <w:pPr>
        <w:spacing w:before="64" w:line="223" w:lineRule="auto"/>
        <w:jc w:val="center"/>
        <w:rPr>
          <w:rFonts w:ascii="黑体" w:eastAsia="黑体" w:hAnsi="黑体" w:cs="黑体" w:hint="eastAsia"/>
          <w:spacing w:val="8"/>
          <w:sz w:val="28"/>
          <w:szCs w:val="28"/>
          <w:lang w:eastAsia="zh-CN"/>
        </w:rPr>
      </w:pPr>
    </w:p>
    <w:p w14:paraId="50A33F52" w14:textId="77777777" w:rsidR="00F705BE" w:rsidRDefault="00F705BE">
      <w:pPr>
        <w:spacing w:line="300" w:lineRule="auto"/>
        <w:rPr>
          <w:lang w:eastAsia="zh-CN"/>
        </w:rPr>
      </w:pPr>
    </w:p>
    <w:p w14:paraId="21C10522" w14:textId="77777777" w:rsidR="00F705BE" w:rsidRDefault="00000000">
      <w:pPr>
        <w:pStyle w:val="a5"/>
        <w:spacing w:before="78" w:line="218" w:lineRule="auto"/>
        <w:ind w:left="22"/>
        <w:outlineLvl w:val="1"/>
        <w:rPr>
          <w:rFonts w:ascii="黑体" w:eastAsia="黑体" w:hAnsi="黑体" w:cs="黑体" w:hint="eastAsia"/>
          <w:sz w:val="24"/>
          <w:szCs w:val="24"/>
        </w:rPr>
      </w:pPr>
      <w:r>
        <w:rPr>
          <w:rFonts w:ascii="黑体" w:eastAsia="黑体" w:hAnsi="黑体" w:cs="黑体" w:hint="eastAsia"/>
          <w:b/>
          <w:bCs/>
          <w:spacing w:val="-6"/>
          <w:sz w:val="24"/>
          <w:szCs w:val="24"/>
        </w:rPr>
        <w:t>一、工作简况</w:t>
      </w:r>
    </w:p>
    <w:p w14:paraId="04EEA2C0" w14:textId="77777777" w:rsidR="00F705BE" w:rsidRDefault="00000000">
      <w:pPr>
        <w:pStyle w:val="a5"/>
        <w:numPr>
          <w:ilvl w:val="0"/>
          <w:numId w:val="3"/>
        </w:numPr>
        <w:spacing w:before="193" w:line="219" w:lineRule="auto"/>
        <w:outlineLvl w:val="2"/>
        <w:rPr>
          <w:rFonts w:hint="eastAsia"/>
          <w:b/>
          <w:bCs/>
          <w:sz w:val="24"/>
          <w:szCs w:val="24"/>
        </w:rPr>
      </w:pPr>
      <w:r>
        <w:rPr>
          <w:rFonts w:hint="eastAsia"/>
          <w:b/>
          <w:bCs/>
          <w:spacing w:val="-6"/>
          <w:sz w:val="24"/>
          <w:szCs w:val="24"/>
          <w:lang w:eastAsia="zh-CN"/>
        </w:rPr>
        <w:t xml:space="preserve"> </w:t>
      </w:r>
      <w:r>
        <w:rPr>
          <w:b/>
          <w:bCs/>
          <w:spacing w:val="-6"/>
          <w:sz w:val="24"/>
          <w:szCs w:val="24"/>
        </w:rPr>
        <w:t>任务来源</w:t>
      </w:r>
    </w:p>
    <w:p w14:paraId="51E65878" w14:textId="30D39640" w:rsidR="00F705BE" w:rsidRPr="00A86A4F" w:rsidRDefault="00A86A4F" w:rsidP="00A86A4F">
      <w:pPr>
        <w:pStyle w:val="a5"/>
        <w:spacing w:before="104" w:line="354" w:lineRule="auto"/>
        <w:ind w:left="18" w:right="181" w:firstLine="420"/>
        <w:rPr>
          <w:rFonts w:hint="eastAsia"/>
          <w:lang w:eastAsia="zh-CN"/>
        </w:rPr>
      </w:pPr>
      <w:r w:rsidRPr="00A86A4F">
        <w:rPr>
          <w:rFonts w:hint="eastAsia"/>
          <w:lang w:eastAsia="zh-CN"/>
        </w:rPr>
        <w:t>本项目</w:t>
      </w:r>
      <w:r w:rsidR="001E027B">
        <w:rPr>
          <w:rFonts w:hint="eastAsia"/>
          <w:lang w:eastAsia="zh-CN"/>
        </w:rPr>
        <w:t>依据《</w:t>
      </w:r>
      <w:r w:rsidR="001E027B" w:rsidRPr="001E027B">
        <w:rPr>
          <w:rFonts w:hint="eastAsia"/>
          <w:lang w:eastAsia="zh-CN"/>
        </w:rPr>
        <w:t>国家标准化管理委员会关于下达</w:t>
      </w:r>
      <w:r w:rsidR="001E027B" w:rsidRPr="001E027B">
        <w:rPr>
          <w:lang w:eastAsia="zh-CN"/>
        </w:rPr>
        <w:t>2025</w:t>
      </w:r>
      <w:r w:rsidR="001E027B" w:rsidRPr="001E027B">
        <w:rPr>
          <w:rFonts w:hint="eastAsia"/>
          <w:lang w:eastAsia="zh-CN"/>
        </w:rPr>
        <w:t>年第四批推荐性国家标准计划及相关标准外文版计划的通知</w:t>
      </w:r>
      <w:r w:rsidR="001E027B">
        <w:rPr>
          <w:rFonts w:hint="eastAsia"/>
          <w:lang w:eastAsia="zh-CN"/>
        </w:rPr>
        <w:t>》</w:t>
      </w:r>
      <w:r w:rsidRPr="00A86A4F">
        <w:rPr>
          <w:rFonts w:hint="eastAsia"/>
          <w:lang w:eastAsia="zh-CN"/>
        </w:rPr>
        <w:t>（</w:t>
      </w:r>
      <w:r w:rsidR="001E027B" w:rsidRPr="001E027B">
        <w:rPr>
          <w:rFonts w:hint="eastAsia"/>
          <w:lang w:eastAsia="zh-CN"/>
        </w:rPr>
        <w:t>国标委发〔</w:t>
      </w:r>
      <w:r w:rsidR="001E027B" w:rsidRPr="001E027B">
        <w:rPr>
          <w:lang w:eastAsia="zh-CN"/>
        </w:rPr>
        <w:t>2025</w:t>
      </w:r>
      <w:r w:rsidR="001E027B" w:rsidRPr="001E027B">
        <w:rPr>
          <w:rFonts w:hint="eastAsia"/>
          <w:lang w:eastAsia="zh-CN"/>
        </w:rPr>
        <w:t>〕</w:t>
      </w:r>
      <w:r w:rsidR="001E027B" w:rsidRPr="001E027B">
        <w:rPr>
          <w:lang w:eastAsia="zh-CN"/>
        </w:rPr>
        <w:t>23</w:t>
      </w:r>
      <w:r w:rsidR="001E027B" w:rsidRPr="001E027B">
        <w:rPr>
          <w:rFonts w:hint="eastAsia"/>
          <w:lang w:eastAsia="zh-CN"/>
        </w:rPr>
        <w:t>号</w:t>
      </w:r>
      <w:r w:rsidRPr="00A86A4F">
        <w:rPr>
          <w:rFonts w:hint="eastAsia"/>
          <w:lang w:eastAsia="zh-CN"/>
        </w:rPr>
        <w:t>），计划编号为</w:t>
      </w:r>
      <w:r w:rsidRPr="00A86A4F">
        <w:rPr>
          <w:lang w:eastAsia="zh-CN"/>
        </w:rPr>
        <w:t>20241960-T-607</w:t>
      </w:r>
      <w:r w:rsidRPr="00A86A4F">
        <w:rPr>
          <w:rFonts w:hint="eastAsia"/>
          <w:lang w:eastAsia="zh-CN"/>
        </w:rPr>
        <w:t>，项目名称“</w:t>
      </w:r>
      <w:r w:rsidR="00A30C09" w:rsidRPr="00A30C09">
        <w:rPr>
          <w:rFonts w:hint="eastAsia"/>
          <w:lang w:eastAsia="zh-CN"/>
        </w:rPr>
        <w:t>洗涤用品中二牛脂基二甲基氯化铵的测定</w:t>
      </w:r>
      <w:r w:rsidR="00A30C09" w:rsidRPr="00A30C09">
        <w:rPr>
          <w:lang w:eastAsia="zh-CN"/>
        </w:rPr>
        <w:t xml:space="preserve"> </w:t>
      </w:r>
      <w:r w:rsidR="00A30C09" w:rsidRPr="00A30C09">
        <w:rPr>
          <w:rFonts w:hint="eastAsia"/>
          <w:lang w:eastAsia="zh-CN"/>
        </w:rPr>
        <w:t>液相色谱</w:t>
      </w:r>
      <w:r w:rsidR="00A30C09" w:rsidRPr="00A30C09">
        <w:rPr>
          <w:lang w:eastAsia="zh-CN"/>
        </w:rPr>
        <w:t>-</w:t>
      </w:r>
      <w:r w:rsidR="00A30C09" w:rsidRPr="00A30C09">
        <w:rPr>
          <w:rFonts w:hint="eastAsia"/>
          <w:lang w:eastAsia="zh-CN"/>
        </w:rPr>
        <w:t>质谱法</w:t>
      </w:r>
      <w:r w:rsidRPr="00A86A4F">
        <w:rPr>
          <w:rFonts w:hint="eastAsia"/>
          <w:lang w:eastAsia="zh-CN"/>
        </w:rPr>
        <w:t>”。</w:t>
      </w:r>
    </w:p>
    <w:p w14:paraId="0CDCE0B1" w14:textId="77777777" w:rsidR="00F705BE" w:rsidRDefault="00000000">
      <w:pPr>
        <w:pStyle w:val="a5"/>
        <w:numPr>
          <w:ilvl w:val="0"/>
          <w:numId w:val="3"/>
        </w:numPr>
        <w:spacing w:before="120" w:line="220" w:lineRule="auto"/>
        <w:outlineLvl w:val="2"/>
        <w:rPr>
          <w:rFonts w:hint="eastAsia"/>
          <w:b/>
          <w:bCs/>
          <w:spacing w:val="-4"/>
          <w:sz w:val="24"/>
          <w:szCs w:val="24"/>
          <w:lang w:eastAsia="zh-CN"/>
        </w:rPr>
      </w:pPr>
      <w:r>
        <w:rPr>
          <w:rFonts w:hint="eastAsia"/>
          <w:b/>
          <w:bCs/>
          <w:spacing w:val="-4"/>
          <w:sz w:val="24"/>
          <w:szCs w:val="24"/>
          <w:lang w:eastAsia="zh-CN"/>
        </w:rPr>
        <w:t xml:space="preserve"> 制定背景</w:t>
      </w:r>
    </w:p>
    <w:p w14:paraId="10A4ABC3" w14:textId="77777777" w:rsidR="00F705BE" w:rsidRDefault="00000000">
      <w:pPr>
        <w:pStyle w:val="a5"/>
        <w:spacing w:before="104" w:line="354" w:lineRule="auto"/>
        <w:ind w:left="18" w:right="181" w:firstLine="420"/>
        <w:rPr>
          <w:rFonts w:hint="eastAsia"/>
          <w:lang w:eastAsia="zh-CN"/>
        </w:rPr>
      </w:pPr>
      <w:r>
        <w:rPr>
          <w:rFonts w:hint="eastAsia"/>
          <w:lang w:eastAsia="zh-CN"/>
        </w:rPr>
        <w:t>洗涤用品是居民日常生活的必需品，肥皂、洗衣粉、洗衣液等产品深入到家居生活的各个方面，产品质量与消费者权益息息相关。洗涤用品的社会消耗量很大，具有密切接触人体、使用频率高、随生活污水直接排放等特点，所以，洗涤用品的安全性和环保性需要进行严格规范。</w:t>
      </w:r>
    </w:p>
    <w:p w14:paraId="185E19EE" w14:textId="77777777" w:rsidR="00F705BE" w:rsidRDefault="00000000">
      <w:pPr>
        <w:pStyle w:val="a5"/>
        <w:spacing w:before="104" w:line="354" w:lineRule="auto"/>
        <w:ind w:left="18" w:right="181" w:firstLine="420"/>
        <w:rPr>
          <w:rFonts w:hint="eastAsia"/>
          <w:lang w:eastAsia="zh-CN"/>
        </w:rPr>
      </w:pPr>
      <w:r>
        <w:rPr>
          <w:rFonts w:hint="eastAsia"/>
          <w:lang w:eastAsia="zh-CN"/>
        </w:rPr>
        <w:t>与发达国家相比，我国洗涤用品的法规体系建设起步较晚，标准相对落后。2021 年 10 月 13 日“国家标准化管理委员会”下达了国家标准《洗涤用品安全技术规范》（以下简称《规范》）的修订工作，将标准属性由推荐性改为强制性，经过严谨的起草和论证阶段，该标准目前已处于待发布状态。可以预见，随着强标的发布和实施，市售洗涤用品将得到有效管理和规范。</w:t>
      </w:r>
    </w:p>
    <w:p w14:paraId="6D157AE0" w14:textId="77777777" w:rsidR="00F705BE" w:rsidRDefault="00000000">
      <w:pPr>
        <w:pStyle w:val="a5"/>
        <w:spacing w:before="104" w:line="354" w:lineRule="auto"/>
        <w:ind w:left="18" w:right="181" w:firstLine="420"/>
        <w:rPr>
          <w:rFonts w:hint="eastAsia"/>
          <w:lang w:eastAsia="zh-CN"/>
        </w:rPr>
      </w:pPr>
      <w:r>
        <w:rPr>
          <w:rFonts w:hint="eastAsia"/>
          <w:lang w:eastAsia="zh-CN"/>
        </w:rPr>
        <w:t>《规范》报批稿参考了国际法规和国内其它行业标准，列出了禁用原料目录，其中，二牛脂基二甲基氯化铵由于对人体具有强刺激性，对水生生物毒性很大，排放在环境中难以生物降解，所以被列为禁用物质，在洗涤产品中含量不允许超过0.1%。与此同时，由于相关标准体系尚处于建设阶段，虽然列出了限量指标，但我国尚没有关于洗涤用品中二牛脂基二甲基氯化铵的试验标准，这也就意味着，待强制标准正式发布后，市场管理部门将面临无标可用的现状。所以，制定洗涤用品中二牛脂基二甲基氯化铵的试验标准已经迫在眉睫。</w:t>
      </w:r>
    </w:p>
    <w:p w14:paraId="6C17E526" w14:textId="77777777" w:rsidR="00F705BE" w:rsidRDefault="00000000">
      <w:pPr>
        <w:pStyle w:val="a5"/>
        <w:numPr>
          <w:ilvl w:val="0"/>
          <w:numId w:val="3"/>
        </w:numPr>
        <w:spacing w:before="120" w:line="220" w:lineRule="auto"/>
        <w:outlineLvl w:val="2"/>
        <w:rPr>
          <w:rFonts w:hint="eastAsia"/>
          <w:b/>
          <w:bCs/>
          <w:sz w:val="24"/>
          <w:szCs w:val="24"/>
        </w:rPr>
      </w:pPr>
      <w:r>
        <w:rPr>
          <w:rFonts w:hint="eastAsia"/>
          <w:b/>
          <w:bCs/>
          <w:spacing w:val="-4"/>
          <w:sz w:val="24"/>
          <w:szCs w:val="24"/>
          <w:lang w:eastAsia="zh-CN"/>
        </w:rPr>
        <w:t xml:space="preserve"> </w:t>
      </w:r>
      <w:r>
        <w:rPr>
          <w:b/>
          <w:bCs/>
          <w:spacing w:val="-4"/>
          <w:sz w:val="24"/>
          <w:szCs w:val="24"/>
        </w:rPr>
        <w:t>主要工作过程</w:t>
      </w:r>
    </w:p>
    <w:p w14:paraId="6BBED3B8" w14:textId="77777777" w:rsidR="00F705BE" w:rsidRDefault="00000000">
      <w:pPr>
        <w:pStyle w:val="a5"/>
        <w:spacing w:before="104" w:line="354" w:lineRule="auto"/>
        <w:ind w:left="18" w:right="181" w:firstLine="420"/>
        <w:rPr>
          <w:rFonts w:ascii="Arial" w:hint="eastAsia"/>
          <w:lang w:eastAsia="zh-CN"/>
        </w:rPr>
      </w:pPr>
      <w:r>
        <w:rPr>
          <w:rFonts w:hint="eastAsia"/>
          <w:lang w:eastAsia="zh-CN"/>
        </w:rPr>
        <w:t>标准化技术委员会秘书处组织中国日用化学研究院有限公司、华南理工大学</w:t>
      </w:r>
      <w:r>
        <w:rPr>
          <w:rFonts w:hint="eastAsia"/>
          <w:spacing w:val="-2"/>
          <w:lang w:eastAsia="zh-CN"/>
        </w:rPr>
        <w:t>、中轻检验认证（太原）有限公司等机构组建标准起草组，</w:t>
      </w:r>
      <w:r>
        <w:rPr>
          <w:rFonts w:hint="eastAsia"/>
          <w:lang w:eastAsia="zh-CN"/>
        </w:rPr>
        <w:t>系统梳理与对比分析国内外相关法规及标准检测方法，经系统性论证与多轮研讨制定实验方案及技术路线，针对试验过程中发现的技术问题开展专项研究，在整合实验数据的基础上，最终编制完成本征求意见稿。</w:t>
      </w:r>
    </w:p>
    <w:p w14:paraId="12CD2FDC" w14:textId="77777777" w:rsidR="00F705BE" w:rsidRDefault="00000000">
      <w:pPr>
        <w:spacing w:beforeLines="50" w:before="120" w:afterLines="50" w:after="120" w:line="360" w:lineRule="auto"/>
        <w:rPr>
          <w:rFonts w:ascii="黑体" w:eastAsia="黑体" w:hAnsi="黑体" w:cs="黑体" w:hint="eastAsia"/>
          <w:spacing w:val="-6"/>
          <w:sz w:val="24"/>
          <w:szCs w:val="24"/>
          <w:lang w:eastAsia="zh-CN"/>
        </w:rPr>
      </w:pPr>
      <w:r>
        <w:rPr>
          <w:rFonts w:ascii="黑体" w:eastAsia="黑体" w:hAnsi="黑体" w:cs="黑体" w:hint="eastAsia"/>
          <w:spacing w:val="-6"/>
          <w:sz w:val="24"/>
          <w:szCs w:val="24"/>
          <w:lang w:eastAsia="zh-CN"/>
        </w:rPr>
        <w:t>二、标准编制原则和主要内容</w:t>
      </w:r>
    </w:p>
    <w:p w14:paraId="64B1C1B1" w14:textId="77777777" w:rsidR="00F705BE" w:rsidRDefault="00000000">
      <w:pPr>
        <w:pStyle w:val="a5"/>
        <w:numPr>
          <w:ilvl w:val="0"/>
          <w:numId w:val="4"/>
        </w:numPr>
        <w:tabs>
          <w:tab w:val="left" w:pos="0"/>
        </w:tabs>
        <w:spacing w:beforeLines="50" w:before="120" w:afterLines="50" w:after="120" w:line="360" w:lineRule="auto"/>
        <w:ind w:left="0" w:firstLine="0"/>
        <w:outlineLvl w:val="2"/>
        <w:rPr>
          <w:rFonts w:hint="eastAsia"/>
          <w:b/>
          <w:bCs/>
          <w:spacing w:val="-4"/>
          <w:sz w:val="24"/>
          <w:szCs w:val="24"/>
        </w:rPr>
      </w:pPr>
      <w:r>
        <w:rPr>
          <w:rFonts w:hint="eastAsia"/>
          <w:b/>
          <w:bCs/>
          <w:spacing w:val="-4"/>
          <w:sz w:val="24"/>
          <w:szCs w:val="24"/>
          <w:lang w:eastAsia="zh-CN"/>
        </w:rPr>
        <w:t xml:space="preserve"> </w:t>
      </w:r>
      <w:r>
        <w:rPr>
          <w:b/>
          <w:bCs/>
          <w:spacing w:val="-4"/>
          <w:sz w:val="24"/>
          <w:szCs w:val="24"/>
        </w:rPr>
        <w:t>标准编制原则</w:t>
      </w:r>
    </w:p>
    <w:p w14:paraId="12609B0A" w14:textId="77777777" w:rsidR="00F705BE" w:rsidRDefault="00000000">
      <w:pPr>
        <w:pStyle w:val="a5"/>
        <w:spacing w:before="108" w:line="355" w:lineRule="auto"/>
        <w:ind w:left="17" w:right="59" w:firstLine="316"/>
        <w:jc w:val="both"/>
        <w:rPr>
          <w:rFonts w:hint="eastAsia"/>
          <w:lang w:eastAsia="zh-CN"/>
        </w:rPr>
      </w:pPr>
      <w:r>
        <w:rPr>
          <w:rFonts w:hint="eastAsia"/>
          <w:spacing w:val="-2"/>
          <w:lang w:eastAsia="zh-CN"/>
        </w:rPr>
        <w:t>本标准制定遵循“协调性、适用性、科学性、规范性”</w:t>
      </w:r>
      <w:r>
        <w:rPr>
          <w:rFonts w:hint="eastAsia"/>
          <w:spacing w:val="-3"/>
          <w:lang w:eastAsia="zh-CN"/>
        </w:rPr>
        <w:t>原则，并着重标准方法的可操作性。标准</w:t>
      </w:r>
      <w:r>
        <w:rPr>
          <w:spacing w:val="-1"/>
          <w:lang w:eastAsia="zh-CN"/>
        </w:rPr>
        <w:t>依据</w:t>
      </w:r>
      <w:r>
        <w:rPr>
          <w:rFonts w:hint="eastAsia"/>
          <w:spacing w:val="-1"/>
          <w:lang w:eastAsia="zh-CN"/>
        </w:rPr>
        <w:t>GB/T 1.1—2020《标准化工作导则 第1部分：标准化文件的结构和起草规则》的规定起草。</w:t>
      </w:r>
    </w:p>
    <w:p w14:paraId="1F288C27" w14:textId="77777777" w:rsidR="00F705BE" w:rsidRDefault="00F705BE">
      <w:pPr>
        <w:spacing w:line="355" w:lineRule="auto"/>
        <w:rPr>
          <w:lang w:eastAsia="zh-CN"/>
        </w:rPr>
        <w:sectPr w:rsidR="00F705BE">
          <w:pgSz w:w="11905" w:h="16840"/>
          <w:pgMar w:top="1440" w:right="1423" w:bottom="1440" w:left="1417" w:header="0" w:footer="0" w:gutter="0"/>
          <w:cols w:space="0"/>
        </w:sectPr>
      </w:pPr>
    </w:p>
    <w:p w14:paraId="71956C83" w14:textId="77777777" w:rsidR="00F705BE" w:rsidRDefault="00000000">
      <w:pPr>
        <w:pStyle w:val="a5"/>
        <w:numPr>
          <w:ilvl w:val="0"/>
          <w:numId w:val="4"/>
        </w:numPr>
        <w:tabs>
          <w:tab w:val="left" w:pos="0"/>
        </w:tabs>
        <w:spacing w:line="360" w:lineRule="auto"/>
        <w:outlineLvl w:val="2"/>
        <w:rPr>
          <w:rFonts w:hint="eastAsia"/>
          <w:b/>
          <w:bCs/>
          <w:spacing w:val="-4"/>
          <w:sz w:val="24"/>
          <w:szCs w:val="24"/>
          <w:lang w:eastAsia="zh-CN"/>
        </w:rPr>
      </w:pPr>
      <w:r>
        <w:rPr>
          <w:rFonts w:hint="eastAsia"/>
          <w:b/>
          <w:bCs/>
          <w:spacing w:val="-4"/>
          <w:sz w:val="24"/>
          <w:szCs w:val="24"/>
          <w:lang w:eastAsia="zh-CN"/>
        </w:rPr>
        <w:lastRenderedPageBreak/>
        <w:t xml:space="preserve"> </w:t>
      </w:r>
      <w:r>
        <w:rPr>
          <w:b/>
          <w:bCs/>
          <w:spacing w:val="-4"/>
          <w:sz w:val="24"/>
          <w:szCs w:val="24"/>
        </w:rPr>
        <w:t>标准主要内容</w:t>
      </w:r>
    </w:p>
    <w:p w14:paraId="0C70CE36" w14:textId="77777777" w:rsidR="00F705BE" w:rsidRDefault="00000000">
      <w:pPr>
        <w:pStyle w:val="a5"/>
        <w:spacing w:line="360" w:lineRule="auto"/>
        <w:ind w:firstLineChars="200" w:firstLine="416"/>
        <w:jc w:val="both"/>
        <w:rPr>
          <w:rFonts w:hint="eastAsia"/>
          <w:spacing w:val="-2"/>
          <w:lang w:eastAsia="zh-CN"/>
        </w:rPr>
      </w:pPr>
      <w:r>
        <w:rPr>
          <w:rFonts w:hint="eastAsia"/>
          <w:spacing w:val="-2"/>
          <w:lang w:eastAsia="zh-CN"/>
        </w:rPr>
        <w:t>本标准主要包括以下内容。</w:t>
      </w:r>
    </w:p>
    <w:p w14:paraId="5EA3A164" w14:textId="77777777" w:rsidR="00F705BE" w:rsidRDefault="00000000">
      <w:pPr>
        <w:pStyle w:val="a5"/>
        <w:numPr>
          <w:ilvl w:val="0"/>
          <w:numId w:val="5"/>
        </w:numPr>
        <w:spacing w:line="360" w:lineRule="auto"/>
        <w:jc w:val="both"/>
        <w:rPr>
          <w:rFonts w:hint="eastAsia"/>
          <w:spacing w:val="-2"/>
          <w:lang w:eastAsia="zh-CN"/>
        </w:rPr>
      </w:pPr>
      <w:r>
        <w:rPr>
          <w:rFonts w:hint="eastAsia"/>
          <w:spacing w:val="-2"/>
          <w:lang w:eastAsia="zh-CN"/>
        </w:rPr>
        <w:t>范围</w:t>
      </w:r>
    </w:p>
    <w:p w14:paraId="467366E0" w14:textId="77777777" w:rsidR="00F705BE" w:rsidRDefault="00000000">
      <w:pPr>
        <w:pStyle w:val="a5"/>
        <w:spacing w:line="360" w:lineRule="auto"/>
        <w:ind w:firstLine="316"/>
        <w:jc w:val="both"/>
        <w:rPr>
          <w:rFonts w:hint="eastAsia"/>
          <w:spacing w:val="-2"/>
          <w:lang w:eastAsia="zh-CN"/>
        </w:rPr>
      </w:pPr>
      <w:r>
        <w:rPr>
          <w:rFonts w:hint="eastAsia"/>
          <w:spacing w:val="-2"/>
          <w:lang w:eastAsia="zh-CN"/>
        </w:rPr>
        <w:t>拟制定标准描述了采用液相色谱-质谱联用法（LC-MS）测定洗涤用品中二牛脂基二甲基氯化铵含量的方法，适用于日常家庭使用的洗涤用品中二牛脂基二甲基氯化铵含量的测定。</w:t>
      </w:r>
    </w:p>
    <w:p w14:paraId="543E6848" w14:textId="77777777" w:rsidR="00F705BE" w:rsidRDefault="00000000">
      <w:pPr>
        <w:pStyle w:val="a5"/>
        <w:numPr>
          <w:ilvl w:val="0"/>
          <w:numId w:val="5"/>
        </w:numPr>
        <w:spacing w:line="360" w:lineRule="auto"/>
        <w:jc w:val="both"/>
        <w:rPr>
          <w:rFonts w:hint="eastAsia"/>
          <w:spacing w:val="-2"/>
          <w:lang w:eastAsia="zh-CN"/>
        </w:rPr>
      </w:pPr>
      <w:r>
        <w:rPr>
          <w:rFonts w:hint="eastAsia"/>
          <w:spacing w:val="-2"/>
          <w:lang w:eastAsia="zh-CN"/>
        </w:rPr>
        <w:t>主要技术内容</w:t>
      </w:r>
    </w:p>
    <w:p w14:paraId="793361E0" w14:textId="77777777" w:rsidR="00F705BE" w:rsidRDefault="00000000">
      <w:pPr>
        <w:pStyle w:val="a5"/>
        <w:numPr>
          <w:ilvl w:val="0"/>
          <w:numId w:val="6"/>
        </w:numPr>
        <w:spacing w:line="360" w:lineRule="auto"/>
        <w:jc w:val="both"/>
        <w:rPr>
          <w:rFonts w:hint="eastAsia"/>
          <w:spacing w:val="-2"/>
          <w:lang w:eastAsia="zh-CN"/>
        </w:rPr>
      </w:pPr>
      <w:r>
        <w:rPr>
          <w:rFonts w:hint="eastAsia"/>
          <w:spacing w:val="-2"/>
          <w:lang w:eastAsia="zh-CN"/>
        </w:rPr>
        <w:t>原理</w:t>
      </w:r>
    </w:p>
    <w:p w14:paraId="433ED8C5" w14:textId="77777777" w:rsidR="00F705BE" w:rsidRDefault="00000000">
      <w:pPr>
        <w:pStyle w:val="a5"/>
        <w:spacing w:line="360" w:lineRule="auto"/>
        <w:ind w:firstLine="316"/>
        <w:jc w:val="both"/>
        <w:rPr>
          <w:rFonts w:hint="eastAsia"/>
          <w:spacing w:val="-2"/>
          <w:lang w:eastAsia="zh-CN"/>
        </w:rPr>
      </w:pPr>
      <w:r>
        <w:rPr>
          <w:rFonts w:hint="eastAsia"/>
          <w:spacing w:val="-2"/>
          <w:lang w:eastAsia="zh-CN"/>
        </w:rPr>
        <w:t>对测定原理进行阐述。</w:t>
      </w:r>
    </w:p>
    <w:p w14:paraId="5D0EC3EC" w14:textId="77777777" w:rsidR="00F705BE" w:rsidRDefault="00000000">
      <w:pPr>
        <w:pStyle w:val="a5"/>
        <w:numPr>
          <w:ilvl w:val="0"/>
          <w:numId w:val="6"/>
        </w:numPr>
        <w:spacing w:line="360" w:lineRule="auto"/>
        <w:jc w:val="both"/>
        <w:rPr>
          <w:rFonts w:hint="eastAsia"/>
          <w:spacing w:val="-2"/>
          <w:lang w:eastAsia="zh-CN"/>
        </w:rPr>
      </w:pPr>
      <w:r>
        <w:rPr>
          <w:rFonts w:hint="eastAsia"/>
          <w:spacing w:val="-2"/>
          <w:lang w:eastAsia="zh-CN"/>
        </w:rPr>
        <w:t>分析方法</w:t>
      </w:r>
    </w:p>
    <w:p w14:paraId="1A7F2415" w14:textId="77777777" w:rsidR="00F705BE" w:rsidRDefault="00000000">
      <w:pPr>
        <w:pStyle w:val="a5"/>
        <w:spacing w:line="360" w:lineRule="auto"/>
        <w:ind w:firstLine="316"/>
        <w:jc w:val="both"/>
        <w:rPr>
          <w:rFonts w:hint="eastAsia"/>
          <w:spacing w:val="-2"/>
          <w:lang w:eastAsia="zh-CN"/>
        </w:rPr>
      </w:pPr>
      <w:r>
        <w:rPr>
          <w:rFonts w:hint="eastAsia"/>
          <w:spacing w:val="-2"/>
          <w:lang w:eastAsia="zh-CN"/>
        </w:rPr>
        <w:t>主要包括：试样溶液制备、标准工作曲线绘制、定性分析、定量分析、空白试验等技术要求。</w:t>
      </w:r>
    </w:p>
    <w:p w14:paraId="1A97E9F6" w14:textId="77777777" w:rsidR="00F705BE" w:rsidRDefault="00000000">
      <w:pPr>
        <w:pStyle w:val="a5"/>
        <w:numPr>
          <w:ilvl w:val="0"/>
          <w:numId w:val="6"/>
        </w:numPr>
        <w:spacing w:line="360" w:lineRule="auto"/>
        <w:jc w:val="both"/>
        <w:rPr>
          <w:rFonts w:hint="eastAsia"/>
          <w:spacing w:val="-2"/>
          <w:lang w:eastAsia="zh-CN"/>
        </w:rPr>
      </w:pPr>
      <w:r>
        <w:rPr>
          <w:rFonts w:hint="eastAsia"/>
          <w:spacing w:val="-2"/>
          <w:lang w:eastAsia="zh-CN"/>
        </w:rPr>
        <w:t>结果计算</w:t>
      </w:r>
    </w:p>
    <w:p w14:paraId="50F73BE9" w14:textId="77777777" w:rsidR="00F705BE" w:rsidRDefault="00000000">
      <w:pPr>
        <w:pStyle w:val="a5"/>
        <w:spacing w:line="360" w:lineRule="auto"/>
        <w:ind w:firstLine="316"/>
        <w:jc w:val="both"/>
        <w:rPr>
          <w:rFonts w:hint="eastAsia"/>
          <w:spacing w:val="-2"/>
          <w:lang w:eastAsia="zh-CN"/>
        </w:rPr>
      </w:pPr>
      <w:r>
        <w:rPr>
          <w:rFonts w:hint="eastAsia"/>
          <w:spacing w:val="-2"/>
          <w:lang w:eastAsia="zh-CN"/>
        </w:rPr>
        <w:t>列出结果计算方法和表示形式。</w:t>
      </w:r>
    </w:p>
    <w:p w14:paraId="37C246AB" w14:textId="77777777" w:rsidR="00F705BE" w:rsidRDefault="00000000">
      <w:pPr>
        <w:pStyle w:val="a5"/>
        <w:numPr>
          <w:ilvl w:val="0"/>
          <w:numId w:val="6"/>
        </w:numPr>
        <w:spacing w:line="360" w:lineRule="auto"/>
        <w:jc w:val="both"/>
        <w:rPr>
          <w:rFonts w:hint="eastAsia"/>
          <w:spacing w:val="-2"/>
          <w:lang w:eastAsia="zh-CN"/>
        </w:rPr>
      </w:pPr>
      <w:r>
        <w:rPr>
          <w:rFonts w:hint="eastAsia"/>
          <w:spacing w:val="-2"/>
          <w:lang w:eastAsia="zh-CN"/>
        </w:rPr>
        <w:t>精密度</w:t>
      </w:r>
    </w:p>
    <w:p w14:paraId="331DCC9D" w14:textId="77777777" w:rsidR="00F705BE" w:rsidRDefault="00000000">
      <w:pPr>
        <w:pStyle w:val="a5"/>
        <w:spacing w:line="360" w:lineRule="auto"/>
        <w:ind w:firstLine="316"/>
        <w:jc w:val="both"/>
        <w:rPr>
          <w:rFonts w:hint="eastAsia"/>
          <w:spacing w:val="-2"/>
          <w:lang w:eastAsia="zh-CN"/>
        </w:rPr>
      </w:pPr>
      <w:r>
        <w:rPr>
          <w:rFonts w:hint="eastAsia"/>
          <w:spacing w:val="-2"/>
          <w:lang w:eastAsia="zh-CN"/>
        </w:rPr>
        <w:t>对测定数据提出精密度要求。</w:t>
      </w:r>
    </w:p>
    <w:p w14:paraId="193F693F" w14:textId="77777777" w:rsidR="00F705BE" w:rsidRDefault="00000000">
      <w:pPr>
        <w:pStyle w:val="a5"/>
        <w:numPr>
          <w:ilvl w:val="0"/>
          <w:numId w:val="6"/>
        </w:numPr>
        <w:spacing w:line="360" w:lineRule="auto"/>
        <w:jc w:val="both"/>
        <w:rPr>
          <w:rFonts w:hint="eastAsia"/>
          <w:spacing w:val="-2"/>
          <w:lang w:eastAsia="zh-CN"/>
        </w:rPr>
      </w:pPr>
      <w:r>
        <w:rPr>
          <w:rFonts w:hint="eastAsia"/>
          <w:spacing w:val="-2"/>
          <w:lang w:eastAsia="zh-CN"/>
        </w:rPr>
        <w:t>附录</w:t>
      </w:r>
    </w:p>
    <w:p w14:paraId="30B550EE" w14:textId="77777777" w:rsidR="00F705BE" w:rsidRDefault="00000000">
      <w:pPr>
        <w:pStyle w:val="a5"/>
        <w:spacing w:line="360" w:lineRule="auto"/>
        <w:ind w:firstLine="316"/>
        <w:jc w:val="both"/>
        <w:rPr>
          <w:rFonts w:hint="eastAsia"/>
          <w:spacing w:val="-2"/>
          <w:lang w:eastAsia="zh-CN"/>
        </w:rPr>
      </w:pPr>
      <w:r>
        <w:rPr>
          <w:rFonts w:hint="eastAsia"/>
          <w:spacing w:val="-2"/>
          <w:lang w:eastAsia="zh-CN"/>
        </w:rPr>
        <w:t>以资料性附录给出高效液相色谱-质谱仪的参考工作条件和对应的色谱图。</w:t>
      </w:r>
    </w:p>
    <w:p w14:paraId="36EE9965" w14:textId="77777777" w:rsidR="00F705BE" w:rsidRDefault="00000000">
      <w:pPr>
        <w:spacing w:beforeLines="50" w:before="120" w:afterLines="50" w:after="120" w:line="360" w:lineRule="auto"/>
        <w:rPr>
          <w:rFonts w:ascii="黑体" w:eastAsia="黑体" w:hAnsi="黑体" w:cs="黑体" w:hint="eastAsia"/>
          <w:spacing w:val="-6"/>
          <w:sz w:val="24"/>
          <w:szCs w:val="24"/>
          <w:lang w:eastAsia="zh-CN"/>
        </w:rPr>
      </w:pPr>
      <w:r>
        <w:rPr>
          <w:rFonts w:ascii="黑体" w:eastAsia="黑体" w:hAnsi="黑体" w:cs="黑体" w:hint="eastAsia"/>
          <w:spacing w:val="-6"/>
          <w:sz w:val="24"/>
          <w:szCs w:val="24"/>
          <w:lang w:eastAsia="zh-CN"/>
        </w:rPr>
        <w:t>三、主要试验（验证）情况</w:t>
      </w:r>
    </w:p>
    <w:p w14:paraId="7A7F96D9" w14:textId="77777777" w:rsidR="00F705BE" w:rsidRDefault="00000000">
      <w:pPr>
        <w:pStyle w:val="a5"/>
        <w:numPr>
          <w:ilvl w:val="0"/>
          <w:numId w:val="7"/>
        </w:numPr>
        <w:spacing w:line="360" w:lineRule="auto"/>
        <w:jc w:val="both"/>
        <w:rPr>
          <w:rFonts w:hint="eastAsia"/>
          <w:b/>
          <w:bCs/>
          <w:spacing w:val="-3"/>
        </w:rPr>
      </w:pPr>
      <w:r>
        <w:rPr>
          <w:rFonts w:hint="eastAsia"/>
          <w:b/>
          <w:bCs/>
          <w:spacing w:val="-3"/>
        </w:rPr>
        <w:t>检测方法选择</w:t>
      </w:r>
    </w:p>
    <w:p w14:paraId="0BCAF6E6" w14:textId="77777777" w:rsidR="00F705BE" w:rsidRDefault="00000000">
      <w:pPr>
        <w:pStyle w:val="a5"/>
        <w:spacing w:line="360" w:lineRule="auto"/>
        <w:ind w:firstLineChars="200" w:firstLine="414"/>
        <w:jc w:val="both"/>
        <w:rPr>
          <w:rFonts w:hint="eastAsia"/>
          <w:spacing w:val="-3"/>
          <w:lang w:eastAsia="zh-CN"/>
        </w:rPr>
      </w:pPr>
      <w:r>
        <w:rPr>
          <w:rFonts w:hint="eastAsia"/>
          <w:spacing w:val="-3"/>
          <w:lang w:eastAsia="zh-CN"/>
        </w:rPr>
        <w:t>传统的阳离子表面活性剂定量分析主要采用阴阳离子两相滴定法，然而该方法通常仅适用于生产企业的产品质量监控，或需在配方体系中阳离子组分浓度较高时方可有效实施。在当前法规环境下，</w:t>
      </w:r>
      <w:r>
        <w:rPr>
          <w:rFonts w:hint="eastAsia"/>
          <w:lang w:eastAsia="zh-CN"/>
        </w:rPr>
        <w:t>二牛脂基二甲基氯化铵</w:t>
      </w:r>
      <w:r>
        <w:rPr>
          <w:rFonts w:hint="eastAsia"/>
          <w:spacing w:val="-3"/>
          <w:lang w:eastAsia="zh-CN"/>
        </w:rPr>
        <w:t>的应用已受到严格限制，文献报道的检测技术普遍聚焦于残留物分析领域，主要针对微量及痕量水平检测需求。除少数文献采用普通的液相色谱分析方法，多数报道已转向采用兼具高灵敏度和强抗干扰性的液相色谱-质谱联用技术（LC-MS），该技术通过质谱特征离子选择监测功能，可有效克服复杂基质干扰问题。</w:t>
      </w:r>
    </w:p>
    <w:p w14:paraId="046E96F9" w14:textId="77777777" w:rsidR="00F705BE" w:rsidRDefault="00000000">
      <w:pPr>
        <w:pStyle w:val="a5"/>
        <w:spacing w:line="360" w:lineRule="auto"/>
        <w:ind w:firstLineChars="200" w:firstLine="414"/>
        <w:jc w:val="both"/>
        <w:rPr>
          <w:rFonts w:hint="eastAsia"/>
          <w:spacing w:val="-3"/>
          <w:lang w:eastAsia="zh-CN"/>
        </w:rPr>
      </w:pPr>
      <w:r>
        <w:rPr>
          <w:rFonts w:hint="eastAsia"/>
          <w:spacing w:val="-3"/>
          <w:lang w:eastAsia="zh-CN"/>
        </w:rPr>
        <w:t>SN/T 3654—2013 规定了食品接触材料用纸及再生纤维中二硬脂基二甲基氯化铵、双（氢化牛油烷基）二甲基氯化铵和二（硬化牛油）二甲基氯化铵总量的测定方法。该方法经50%甲醇溶液提取后，采用液相色谱-串联质谱法(LC-MS/MS)实施检测，并以外标法定量。GB/T 23324—2009 规定了纺织产品中二硬脂基二甲基氯化铵残留量的测定方法，试样经甲醇超声提取后，以双十八烷基二甲基氯化铵、双十六烷基二甲基氯化铵及十六烷基十八烷基二甲基氯化铵为目标分析物，通过液相色谱-串联质谱仪实施定性与定量分析。SN/T 3119—2012 针对进出口染整助剂中二硬脂基二甲基氯化铵的检测，采用甲醇超声提取样品，经离心过滤后，结合电喷雾正离子源(ESI+)与多反应监测(MRM)模式的LC-MS/MS进行定性与定量分析，并采用同位素内标法校正基质效应。HG/T 5252—2017 采用LC-MS/MS测定纺织染整助剂中二氢化牛脂基二甲基氯化铵，</w:t>
      </w:r>
      <w:r>
        <w:rPr>
          <w:rFonts w:hint="eastAsia"/>
          <w:spacing w:val="-3"/>
          <w:lang w:eastAsia="zh-CN"/>
        </w:rPr>
        <w:lastRenderedPageBreak/>
        <w:t>该方法使用甲酸-甲醇溶液提取，在ZORBAX Eclipse Plus C18色谱柱上以甲醇和0.1%甲酸水溶液作为流动相实施梯度洗脱分离。</w:t>
      </w:r>
    </w:p>
    <w:p w14:paraId="21A27187" w14:textId="77777777" w:rsidR="00F705BE" w:rsidRDefault="00000000">
      <w:pPr>
        <w:pStyle w:val="a5"/>
        <w:spacing w:line="360" w:lineRule="auto"/>
        <w:ind w:firstLineChars="200" w:firstLine="414"/>
        <w:jc w:val="both"/>
        <w:rPr>
          <w:rFonts w:hint="eastAsia"/>
          <w:spacing w:val="-3"/>
          <w:lang w:eastAsia="zh-CN"/>
        </w:rPr>
      </w:pPr>
      <w:r>
        <w:rPr>
          <w:rFonts w:hint="eastAsia"/>
          <w:spacing w:val="-3"/>
          <w:lang w:eastAsia="zh-CN"/>
        </w:rPr>
        <w:t xml:space="preserve">以上标准方法多采用液相色谱-串联质谱法（LC-MS/MS）进行测定，主要原因是目标化合物双十八烷基二甲基氯化铵（DODMAC）、双十六烷基二甲基氯化铵（DDDAC）及十六烷基十八烷基二甲基氯化铵（CODAC）在常规色谱条件下存在共流出现象，或与杂质分离度不足，需依赖二级质谱的特异性离子对进行定量分析。然而，LC-MS/MS仪器成本高昂，制约了标准方法的推广与应用。  </w:t>
      </w:r>
    </w:p>
    <w:p w14:paraId="6FE9FBD1" w14:textId="77777777" w:rsidR="00F705BE" w:rsidRDefault="00000000">
      <w:pPr>
        <w:pStyle w:val="a5"/>
        <w:spacing w:line="360" w:lineRule="auto"/>
        <w:ind w:firstLineChars="200" w:firstLine="414"/>
        <w:jc w:val="both"/>
        <w:rPr>
          <w:rFonts w:hint="eastAsia"/>
          <w:spacing w:val="-3"/>
          <w:lang w:eastAsia="zh-CN"/>
        </w:rPr>
      </w:pPr>
      <w:r>
        <w:rPr>
          <w:rFonts w:hint="eastAsia"/>
          <w:spacing w:val="-3"/>
          <w:lang w:eastAsia="zh-CN"/>
        </w:rPr>
        <w:t>本标准在预研阶段针对色谱分离方法开展了系统研究，通过对比不同色谱柱及分离模式下</w:t>
      </w:r>
      <w:r>
        <w:rPr>
          <w:rFonts w:hint="eastAsia"/>
          <w:lang w:eastAsia="zh-CN"/>
        </w:rPr>
        <w:t>二牛脂基二甲基氯化铵的保留行为，最终建立新型色谱分离方案。该方案</w:t>
      </w:r>
      <w:r>
        <w:rPr>
          <w:rFonts w:hint="eastAsia"/>
          <w:spacing w:val="-3"/>
          <w:lang w:eastAsia="zh-CN"/>
        </w:rPr>
        <w:t>使DODMAC、DDDAC和CODAC三种目标化合物获得显著差异化的保留时间，在实现基线分离的同时，亦达到与杂质有效分离的色谱效果。在此优化条件下，常规液相色谱-单四极杆质谱仪（LC-MS）即可满足检测需求，在降低仪器使用门槛的同时，显著降低了检测方法的成本，有助于标准的推广应用。</w:t>
      </w:r>
    </w:p>
    <w:p w14:paraId="7E6E6E78" w14:textId="77777777" w:rsidR="00F705BE" w:rsidRDefault="00000000">
      <w:pPr>
        <w:pStyle w:val="a5"/>
        <w:numPr>
          <w:ilvl w:val="0"/>
          <w:numId w:val="7"/>
        </w:numPr>
        <w:spacing w:line="360" w:lineRule="auto"/>
        <w:jc w:val="both"/>
        <w:rPr>
          <w:rFonts w:hint="eastAsia"/>
          <w:b/>
          <w:bCs/>
          <w:spacing w:val="-3"/>
          <w:lang w:eastAsia="zh-CN"/>
        </w:rPr>
      </w:pPr>
      <w:r>
        <w:rPr>
          <w:rFonts w:hint="eastAsia"/>
          <w:b/>
          <w:bCs/>
          <w:spacing w:val="-3"/>
          <w:lang w:eastAsia="zh-CN"/>
        </w:rPr>
        <w:t>检测方法的建立和试验过程</w:t>
      </w:r>
    </w:p>
    <w:p w14:paraId="6D90E102" w14:textId="77777777" w:rsidR="00F705BE" w:rsidRDefault="00000000">
      <w:pPr>
        <w:pStyle w:val="a5"/>
        <w:spacing w:line="360" w:lineRule="auto"/>
        <w:ind w:left="121"/>
        <w:rPr>
          <w:rFonts w:hint="eastAsia"/>
          <w:spacing w:val="-2"/>
          <w:lang w:eastAsia="zh-CN"/>
        </w:rPr>
      </w:pPr>
      <w:r>
        <w:rPr>
          <w:rFonts w:hint="eastAsia"/>
          <w:spacing w:val="-2"/>
          <w:lang w:eastAsia="zh-CN"/>
        </w:rPr>
        <w:t>3.2.1 提取溶剂的选择</w:t>
      </w:r>
    </w:p>
    <w:p w14:paraId="6A150DD3" w14:textId="77777777" w:rsidR="00F705BE" w:rsidRDefault="00000000">
      <w:pPr>
        <w:pStyle w:val="a5"/>
        <w:spacing w:line="360" w:lineRule="auto"/>
        <w:ind w:firstLine="412"/>
        <w:rPr>
          <w:rFonts w:hint="eastAsia"/>
          <w:lang w:eastAsia="zh-CN"/>
        </w:rPr>
      </w:pPr>
      <w:r>
        <w:rPr>
          <w:rFonts w:hint="eastAsia"/>
          <w:lang w:eastAsia="zh-CN"/>
        </w:rPr>
        <w:t>二牛脂基二甲基氯化铵在水中的溶解度较低，通常需采用有机溶剂进行提取。依据现有标准方法与文献报道，乙腈、乙腈-水或甲醇常被选作提取溶剂。</w:t>
      </w:r>
    </w:p>
    <w:p w14:paraId="44C03A7C" w14:textId="77777777" w:rsidR="00F705BE" w:rsidRDefault="00000000">
      <w:pPr>
        <w:pStyle w:val="a5"/>
        <w:spacing w:line="360" w:lineRule="auto"/>
        <w:ind w:firstLine="412"/>
        <w:rPr>
          <w:rFonts w:hint="eastAsia"/>
          <w:lang w:eastAsia="zh-CN"/>
        </w:rPr>
      </w:pPr>
      <w:r>
        <w:rPr>
          <w:rFonts w:hint="eastAsia"/>
          <w:lang w:eastAsia="zh-CN"/>
        </w:rPr>
        <w:t>研究比较了对照品在乙腈、乙腈-水及甲醇中的溶解性，结果表明二硬脂基二甲基氯化铵在甲醇中具有最优溶解性。此外，鉴于洗涤用品剂型多样，洗衣粉等粉状洗涤剂中含有大量无机助剂，而凝珠产品则包含作为水溶性高分子包膜的聚乙烯醇。上述成分不仅可能干扰色谱分离，且影响液相色谱柱与质谱仪的长期稳定性，在分析过程中应尽量予以去除。因此，经综合考量，选择甲醇作为提取溶剂，可在充分提取目标分析物的同时，有效降低无机盐组分及聚乙烯醇的带入量。</w:t>
      </w:r>
    </w:p>
    <w:p w14:paraId="1D9070EE" w14:textId="77777777" w:rsidR="00F705BE" w:rsidRDefault="00000000">
      <w:pPr>
        <w:pStyle w:val="a5"/>
        <w:spacing w:line="360" w:lineRule="auto"/>
        <w:rPr>
          <w:rFonts w:hint="eastAsia"/>
          <w:lang w:eastAsia="zh-CN"/>
        </w:rPr>
      </w:pPr>
      <w:r>
        <w:rPr>
          <w:rFonts w:hint="eastAsia"/>
          <w:lang w:eastAsia="zh-CN"/>
        </w:rPr>
        <w:t xml:space="preserve">3.2.2 </w:t>
      </w:r>
      <w:r>
        <w:rPr>
          <w:spacing w:val="-2"/>
          <w:lang w:eastAsia="zh-CN"/>
        </w:rPr>
        <w:t>色谱参考条件</w:t>
      </w:r>
    </w:p>
    <w:p w14:paraId="494911AF" w14:textId="77777777" w:rsidR="00F705BE" w:rsidRDefault="00000000">
      <w:pPr>
        <w:pStyle w:val="a5"/>
        <w:spacing w:line="360" w:lineRule="auto"/>
        <w:ind w:firstLine="412"/>
        <w:rPr>
          <w:rFonts w:hint="eastAsia"/>
          <w:lang w:eastAsia="zh-CN"/>
        </w:rPr>
      </w:pPr>
      <w:r>
        <w:rPr>
          <w:rFonts w:hint="eastAsia"/>
          <w:lang w:eastAsia="zh-CN"/>
        </w:rPr>
        <w:t>由于测试条件取决于所使用的仪器，因此本标准以资料性附录的方式给出了液相色谱-质谱联用仪的建议分析条件，该条件经过系统性研究证明是合适的。</w:t>
      </w:r>
    </w:p>
    <w:p w14:paraId="13383B65" w14:textId="77777777" w:rsidR="00F705BE" w:rsidRDefault="00000000">
      <w:pPr>
        <w:pStyle w:val="a5"/>
        <w:spacing w:line="360" w:lineRule="auto"/>
        <w:ind w:firstLine="412"/>
        <w:rPr>
          <w:rFonts w:ascii="Times New Roman" w:hint="eastAsia"/>
          <w:lang w:eastAsia="zh-CN"/>
        </w:rPr>
      </w:pPr>
      <w:r>
        <w:rPr>
          <w:rFonts w:hint="eastAsia"/>
          <w:lang w:eastAsia="zh-CN"/>
        </w:rPr>
        <w:t>以二硬脂基二甲基氯化铵对照品溶液为分析对象，系统评估不同色谱柱对目标组分的保留特性。经对比研究，</w:t>
      </w:r>
      <w:r>
        <w:rPr>
          <w:rFonts w:hint="eastAsia"/>
          <w:spacing w:val="-3"/>
          <w:lang w:eastAsia="zh-CN"/>
        </w:rPr>
        <w:t>双十八烷基二甲基氯化铵（DODMAC）、双十六烷基二甲基氯化铵（DDDAC）及十六烷基十八烷基二甲基氯化铵（CODAC）在</w:t>
      </w:r>
      <w:r>
        <w:rPr>
          <w:rFonts w:ascii="Times New Roman" w:hint="eastAsia"/>
          <w:lang w:eastAsia="zh-CN"/>
        </w:rPr>
        <w:t>Thermo Acclaim Surfactant Plus</w:t>
      </w:r>
      <w:r>
        <w:rPr>
          <w:rFonts w:ascii="Times New Roman" w:hint="eastAsia"/>
          <w:lang w:eastAsia="zh-CN"/>
        </w:rPr>
        <w:t>色谱柱上表现出优异的分离性能。采用乙腈</w:t>
      </w:r>
      <w:r>
        <w:rPr>
          <w:rFonts w:ascii="Times New Roman" w:hint="eastAsia"/>
          <w:lang w:eastAsia="zh-CN"/>
        </w:rPr>
        <w:t>-</w:t>
      </w:r>
      <w:r>
        <w:rPr>
          <w:rFonts w:ascii="Times New Roman" w:hint="eastAsia"/>
          <w:lang w:eastAsia="zh-CN"/>
        </w:rPr>
        <w:t>乙酸铵</w:t>
      </w:r>
      <w:r>
        <w:rPr>
          <w:rFonts w:ascii="Times New Roman" w:hint="eastAsia"/>
          <w:lang w:eastAsia="zh-CN"/>
        </w:rPr>
        <w:t>-</w:t>
      </w:r>
      <w:r>
        <w:rPr>
          <w:rFonts w:ascii="Times New Roman" w:hint="eastAsia"/>
          <w:lang w:eastAsia="zh-CN"/>
        </w:rPr>
        <w:t>水体系作为流动相时，阳离子组分色谱峰形稳定，保留时间重现性良好，并与共存杂质实现基线分离。综合考量样品溶解度、色谱分离度、分析时间及质谱兼容性等关键指标，最终确立的色谱分析条件如下：</w:t>
      </w:r>
    </w:p>
    <w:p w14:paraId="6F4B5CD8" w14:textId="77777777" w:rsidR="00F705BE" w:rsidRDefault="00000000">
      <w:pPr>
        <w:pStyle w:val="a8"/>
        <w:spacing w:line="360" w:lineRule="auto"/>
        <w:ind w:firstLine="420"/>
        <w:rPr>
          <w:rFonts w:ascii="Times New Roman"/>
        </w:rPr>
      </w:pPr>
      <w:r>
        <w:rPr>
          <w:rFonts w:ascii="Times New Roman"/>
        </w:rPr>
        <w:t>色谱柱：</w:t>
      </w:r>
      <w:r>
        <w:rPr>
          <w:rFonts w:ascii="Times New Roman"/>
        </w:rPr>
        <w:t>Thermo Acclaim Surfactant Plus (4.6</w:t>
      </w:r>
      <w:r>
        <w:rPr>
          <w:rFonts w:ascii="Times New Roman" w:hint="eastAsia"/>
        </w:rPr>
        <w:t xml:space="preserve"> </w:t>
      </w:r>
      <w:r>
        <w:rPr>
          <w:rFonts w:ascii="Times New Roman"/>
        </w:rPr>
        <w:t>mm×150 mm</w:t>
      </w:r>
      <w:r>
        <w:rPr>
          <w:rFonts w:ascii="Times New Roman"/>
        </w:rPr>
        <w:t>，</w:t>
      </w:r>
      <w:r>
        <w:rPr>
          <w:rFonts w:ascii="Times New Roman"/>
        </w:rPr>
        <w:t>3 μm)</w:t>
      </w:r>
      <w:r>
        <w:rPr>
          <w:rFonts w:ascii="Times New Roman"/>
        </w:rPr>
        <w:t>；</w:t>
      </w:r>
    </w:p>
    <w:p w14:paraId="3935AB6D" w14:textId="77777777" w:rsidR="00F705BE" w:rsidRDefault="00000000">
      <w:pPr>
        <w:pStyle w:val="a8"/>
        <w:spacing w:line="360" w:lineRule="auto"/>
        <w:ind w:firstLine="420"/>
        <w:rPr>
          <w:rFonts w:ascii="Times New Roman"/>
        </w:rPr>
      </w:pPr>
      <w:r>
        <w:rPr>
          <w:rFonts w:ascii="Times New Roman"/>
        </w:rPr>
        <w:t>流速：</w:t>
      </w:r>
      <w:r>
        <w:rPr>
          <w:rFonts w:ascii="Times New Roman"/>
        </w:rPr>
        <w:t>1.0</w:t>
      </w:r>
      <w:r>
        <w:rPr>
          <w:rFonts w:ascii="Times New Roman" w:hint="eastAsia"/>
        </w:rPr>
        <w:t xml:space="preserve"> </w:t>
      </w:r>
      <w:r>
        <w:rPr>
          <w:rFonts w:ascii="Times New Roman"/>
        </w:rPr>
        <w:t>mL/min</w:t>
      </w:r>
      <w:r>
        <w:rPr>
          <w:rFonts w:ascii="Times New Roman"/>
        </w:rPr>
        <w:t>；</w:t>
      </w:r>
    </w:p>
    <w:p w14:paraId="5AFE503C" w14:textId="77777777" w:rsidR="00F705BE" w:rsidRDefault="00000000">
      <w:pPr>
        <w:pStyle w:val="a8"/>
        <w:spacing w:line="360" w:lineRule="auto"/>
        <w:ind w:firstLine="420"/>
        <w:rPr>
          <w:rFonts w:ascii="Times New Roman"/>
        </w:rPr>
      </w:pPr>
      <w:r>
        <w:rPr>
          <w:rFonts w:ascii="Times New Roman"/>
        </w:rPr>
        <w:t>洗脱程序：流动相</w:t>
      </w:r>
      <w:r>
        <w:rPr>
          <w:rFonts w:ascii="Times New Roman"/>
        </w:rPr>
        <w:t>A</w:t>
      </w:r>
      <w:r>
        <w:rPr>
          <w:rFonts w:ascii="Times New Roman"/>
        </w:rPr>
        <w:t>为</w:t>
      </w:r>
      <w:r>
        <w:rPr>
          <w:rFonts w:ascii="Times New Roman"/>
        </w:rPr>
        <w:t>100</w:t>
      </w:r>
      <w:r>
        <w:rPr>
          <w:rFonts w:ascii="Times New Roman" w:hint="eastAsia"/>
        </w:rPr>
        <w:t xml:space="preserve"> </w:t>
      </w:r>
      <w:r>
        <w:rPr>
          <w:rFonts w:ascii="Times New Roman"/>
        </w:rPr>
        <w:t>mmol/L</w:t>
      </w:r>
      <w:r>
        <w:rPr>
          <w:rFonts w:ascii="Times New Roman"/>
        </w:rPr>
        <w:t>的乙酸铵水溶液（用乙酸调节</w:t>
      </w:r>
      <w:r>
        <w:rPr>
          <w:rFonts w:ascii="Times New Roman"/>
        </w:rPr>
        <w:t>pH</w:t>
      </w:r>
      <w:r>
        <w:rPr>
          <w:rFonts w:ascii="Times New Roman"/>
        </w:rPr>
        <w:t>为</w:t>
      </w:r>
      <w:r>
        <w:rPr>
          <w:rFonts w:ascii="Times New Roman"/>
        </w:rPr>
        <w:t>5.0</w:t>
      </w:r>
      <w:r>
        <w:rPr>
          <w:rFonts w:ascii="Times New Roman"/>
        </w:rPr>
        <w:t>），流动相</w:t>
      </w:r>
      <w:r>
        <w:rPr>
          <w:rFonts w:ascii="Times New Roman"/>
        </w:rPr>
        <w:t>B</w:t>
      </w:r>
      <w:r>
        <w:rPr>
          <w:rFonts w:ascii="Times New Roman"/>
        </w:rPr>
        <w:t>为乙腈，流动相</w:t>
      </w:r>
      <w:r>
        <w:rPr>
          <w:rFonts w:ascii="Times New Roman"/>
        </w:rPr>
        <w:t>C</w:t>
      </w:r>
      <w:r>
        <w:rPr>
          <w:rFonts w:ascii="Times New Roman"/>
        </w:rPr>
        <w:t>为水，梯度洗脱程序见表</w:t>
      </w:r>
      <w:r>
        <w:rPr>
          <w:rFonts w:ascii="Times New Roman"/>
        </w:rPr>
        <w:t xml:space="preserve"> 1</w:t>
      </w:r>
      <w:r>
        <w:rPr>
          <w:rFonts w:ascii="Times New Roman"/>
        </w:rPr>
        <w:t>；</w:t>
      </w:r>
    </w:p>
    <w:p w14:paraId="6958ED41" w14:textId="77777777" w:rsidR="00F705BE" w:rsidRDefault="00000000">
      <w:pPr>
        <w:pStyle w:val="a8"/>
        <w:spacing w:line="360" w:lineRule="auto"/>
        <w:ind w:firstLine="420"/>
        <w:rPr>
          <w:rFonts w:ascii="Times New Roman"/>
        </w:rPr>
      </w:pPr>
      <w:r>
        <w:rPr>
          <w:rFonts w:ascii="Times New Roman"/>
        </w:rPr>
        <w:t>进样量：</w:t>
      </w:r>
      <w:r>
        <w:rPr>
          <w:rFonts w:ascii="Times New Roman"/>
        </w:rPr>
        <w:t>10</w:t>
      </w:r>
      <w:r>
        <w:rPr>
          <w:rFonts w:ascii="Times New Roman" w:hint="eastAsia"/>
        </w:rPr>
        <w:t xml:space="preserve"> </w:t>
      </w:r>
      <w:r>
        <w:rPr>
          <w:rFonts w:ascii="Times New Roman"/>
        </w:rPr>
        <w:t>μL</w:t>
      </w:r>
      <w:r>
        <w:rPr>
          <w:rFonts w:ascii="Times New Roman"/>
        </w:rPr>
        <w:t>；</w:t>
      </w:r>
    </w:p>
    <w:p w14:paraId="1392C031" w14:textId="77777777" w:rsidR="00F705BE" w:rsidRDefault="00000000">
      <w:pPr>
        <w:pStyle w:val="a8"/>
        <w:spacing w:line="360" w:lineRule="auto"/>
        <w:ind w:firstLine="420"/>
        <w:rPr>
          <w:rFonts w:ascii="Times New Roman"/>
        </w:rPr>
      </w:pPr>
      <w:r>
        <w:rPr>
          <w:rFonts w:ascii="Times New Roman"/>
        </w:rPr>
        <w:lastRenderedPageBreak/>
        <w:t>离子源：电喷雾离子化电离源（</w:t>
      </w:r>
      <w:r>
        <w:rPr>
          <w:rFonts w:ascii="Times New Roman"/>
        </w:rPr>
        <w:t>ESI</w:t>
      </w:r>
      <w:r>
        <w:rPr>
          <w:rFonts w:ascii="Times New Roman"/>
        </w:rPr>
        <w:t>），正离子监测；</w:t>
      </w:r>
    </w:p>
    <w:p w14:paraId="7FE3C8A7" w14:textId="77777777" w:rsidR="00F705BE" w:rsidRDefault="00000000">
      <w:pPr>
        <w:pStyle w:val="a8"/>
        <w:spacing w:line="360" w:lineRule="auto"/>
        <w:ind w:firstLine="420"/>
        <w:rPr>
          <w:rFonts w:ascii="Times New Roman"/>
        </w:rPr>
      </w:pPr>
      <w:r>
        <w:rPr>
          <w:rFonts w:ascii="Times New Roman"/>
        </w:rPr>
        <w:t>扫描模式：</w:t>
      </w:r>
      <w:r>
        <w:rPr>
          <w:rFonts w:ascii="Times New Roman" w:hint="eastAsia"/>
        </w:rPr>
        <w:t>选择离子监测模式</w:t>
      </w:r>
      <w:r>
        <w:rPr>
          <w:rFonts w:ascii="Times New Roman"/>
        </w:rPr>
        <w:t>，监测离子</w:t>
      </w:r>
      <w:r>
        <w:rPr>
          <w:rFonts w:ascii="Times New Roman"/>
          <w:i/>
          <w:iCs/>
        </w:rPr>
        <w:t>m/z</w:t>
      </w:r>
      <w:r>
        <w:rPr>
          <w:rFonts w:ascii="Times New Roman"/>
        </w:rPr>
        <w:t>为：</w:t>
      </w:r>
      <w:r>
        <w:rPr>
          <w:rFonts w:ascii="Times New Roman"/>
        </w:rPr>
        <w:t>494.6</w:t>
      </w:r>
      <w:r>
        <w:rPr>
          <w:rFonts w:ascii="Times New Roman"/>
        </w:rPr>
        <w:t>、</w:t>
      </w:r>
      <w:r>
        <w:rPr>
          <w:rFonts w:ascii="Times New Roman"/>
        </w:rPr>
        <w:t>522.6</w:t>
      </w:r>
      <w:r>
        <w:rPr>
          <w:rFonts w:ascii="Times New Roman"/>
        </w:rPr>
        <w:t>、</w:t>
      </w:r>
      <w:r>
        <w:rPr>
          <w:rFonts w:ascii="Times New Roman"/>
        </w:rPr>
        <w:t>550.7</w:t>
      </w:r>
      <w:r>
        <w:rPr>
          <w:rFonts w:ascii="Times New Roman"/>
        </w:rPr>
        <w:t>；</w:t>
      </w:r>
    </w:p>
    <w:p w14:paraId="609598FD" w14:textId="77777777" w:rsidR="00F705BE" w:rsidRDefault="00000000">
      <w:pPr>
        <w:pStyle w:val="a8"/>
        <w:spacing w:line="360" w:lineRule="auto"/>
        <w:ind w:firstLine="420"/>
        <w:rPr>
          <w:rFonts w:ascii="Times New Roman"/>
        </w:rPr>
      </w:pPr>
      <w:r>
        <w:rPr>
          <w:rFonts w:ascii="Times New Roman"/>
        </w:rPr>
        <w:t>毛细管温度：</w:t>
      </w:r>
      <w:r>
        <w:rPr>
          <w:rFonts w:ascii="Times New Roman" w:hint="eastAsia"/>
        </w:rPr>
        <w:t>600</w:t>
      </w:r>
      <w:r>
        <w:rPr>
          <w:rFonts w:ascii="Times New Roman"/>
        </w:rPr>
        <w:t xml:space="preserve"> (℃)</w:t>
      </w:r>
      <w:r>
        <w:rPr>
          <w:rFonts w:ascii="Times New Roman"/>
        </w:rPr>
        <w:t>；</w:t>
      </w:r>
    </w:p>
    <w:p w14:paraId="661B1885" w14:textId="77777777" w:rsidR="00F705BE" w:rsidRDefault="00000000">
      <w:pPr>
        <w:pStyle w:val="a8"/>
        <w:spacing w:line="360" w:lineRule="auto"/>
        <w:ind w:firstLine="420"/>
        <w:rPr>
          <w:rFonts w:ascii="Times New Roman"/>
        </w:rPr>
      </w:pPr>
      <w:r>
        <w:rPr>
          <w:rFonts w:ascii="Times New Roman"/>
        </w:rPr>
        <w:t>毛细管电压：</w:t>
      </w:r>
      <w:r>
        <w:rPr>
          <w:rFonts w:ascii="Times New Roman" w:hint="eastAsia"/>
        </w:rPr>
        <w:t xml:space="preserve">0.8 </w:t>
      </w:r>
      <w:r>
        <w:rPr>
          <w:rFonts w:ascii="Times New Roman"/>
        </w:rPr>
        <w:t>(kV)</w:t>
      </w:r>
      <w:r>
        <w:rPr>
          <w:rFonts w:ascii="Times New Roman"/>
        </w:rPr>
        <w:t>；</w:t>
      </w:r>
    </w:p>
    <w:p w14:paraId="388894C3" w14:textId="77777777" w:rsidR="00F705BE" w:rsidRDefault="00000000">
      <w:pPr>
        <w:pStyle w:val="a8"/>
        <w:spacing w:line="360" w:lineRule="auto"/>
        <w:ind w:firstLine="420"/>
        <w:rPr>
          <w:rFonts w:ascii="Times New Roman"/>
        </w:rPr>
      </w:pPr>
      <w:r>
        <w:rPr>
          <w:rFonts w:ascii="Times New Roman"/>
        </w:rPr>
        <w:t>锥孔电压：</w:t>
      </w:r>
      <w:r>
        <w:rPr>
          <w:rFonts w:ascii="Times New Roman" w:hint="eastAsia"/>
        </w:rPr>
        <w:t xml:space="preserve">15 </w:t>
      </w:r>
      <w:r>
        <w:rPr>
          <w:rFonts w:ascii="Times New Roman"/>
        </w:rPr>
        <w:t>(V)</w:t>
      </w:r>
      <w:r>
        <w:rPr>
          <w:rFonts w:ascii="Times New Roman"/>
        </w:rPr>
        <w:t>；</w:t>
      </w:r>
    </w:p>
    <w:p w14:paraId="6ABFCCA3" w14:textId="77777777" w:rsidR="00F705BE" w:rsidRDefault="00000000">
      <w:pPr>
        <w:pStyle w:val="a8"/>
        <w:spacing w:line="360" w:lineRule="auto"/>
        <w:ind w:firstLine="420"/>
        <w:rPr>
          <w:rFonts w:ascii="Times New Roman"/>
        </w:rPr>
      </w:pPr>
      <w:r>
        <w:rPr>
          <w:rFonts w:ascii="Times New Roman"/>
        </w:rPr>
        <w:t>离子源温度：</w:t>
      </w:r>
      <w:r>
        <w:rPr>
          <w:rFonts w:ascii="Times New Roman" w:hint="eastAsia"/>
        </w:rPr>
        <w:t xml:space="preserve">120 </w:t>
      </w:r>
      <w:r>
        <w:rPr>
          <w:rFonts w:ascii="Times New Roman"/>
        </w:rPr>
        <w:t>(℃)</w:t>
      </w:r>
      <w:r>
        <w:rPr>
          <w:rFonts w:ascii="Times New Roman"/>
        </w:rPr>
        <w:t>。</w:t>
      </w:r>
    </w:p>
    <w:p w14:paraId="5B1A7436" w14:textId="77777777" w:rsidR="00F705BE" w:rsidRDefault="00000000">
      <w:pPr>
        <w:pStyle w:val="a"/>
        <w:numPr>
          <w:ilvl w:val="1"/>
          <w:numId w:val="0"/>
        </w:numPr>
        <w:spacing w:before="120" w:after="120"/>
        <w:rPr>
          <w:rFonts w:ascii="Times New Roman" w:eastAsia="宋体"/>
          <w:snapToGrid w:val="0"/>
          <w:color w:val="000000"/>
          <w:kern w:val="0"/>
          <w:szCs w:val="21"/>
          <w:lang w:eastAsia="en-US"/>
        </w:rPr>
      </w:pPr>
      <w:r>
        <w:rPr>
          <w:rFonts w:ascii="Times New Roman" w:eastAsia="宋体"/>
          <w:snapToGrid w:val="0"/>
          <w:color w:val="000000"/>
          <w:kern w:val="0"/>
          <w:szCs w:val="21"/>
        </w:rPr>
        <w:t>表</w:t>
      </w:r>
      <w:r>
        <w:rPr>
          <w:rFonts w:ascii="Times New Roman" w:eastAsia="宋体"/>
          <w:snapToGrid w:val="0"/>
          <w:color w:val="000000"/>
          <w:kern w:val="0"/>
          <w:szCs w:val="21"/>
        </w:rPr>
        <w:t xml:space="preserve">1 </w:t>
      </w:r>
      <w:r>
        <w:rPr>
          <w:rFonts w:ascii="Times New Roman" w:eastAsia="宋体"/>
          <w:snapToGrid w:val="0"/>
          <w:color w:val="000000"/>
          <w:kern w:val="0"/>
          <w:szCs w:val="21"/>
          <w:lang w:eastAsia="en-US"/>
        </w:rPr>
        <w:t>梯度洗脱程序</w:t>
      </w:r>
    </w:p>
    <w:tbl>
      <w:tblPr>
        <w:tblStyle w:val="a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63"/>
        <w:gridCol w:w="1463"/>
        <w:gridCol w:w="1466"/>
        <w:gridCol w:w="1466"/>
      </w:tblGrid>
      <w:tr w:rsidR="00F705BE" w14:paraId="3A85CA8B" w14:textId="77777777">
        <w:trPr>
          <w:trHeight w:val="324"/>
          <w:jc w:val="center"/>
        </w:trPr>
        <w:tc>
          <w:tcPr>
            <w:tcW w:w="1463"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0E92425"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时间</w:t>
            </w:r>
            <w:r>
              <w:rPr>
                <w:rFonts w:ascii="Times New Roman" w:eastAsiaTheme="minorEastAsia" w:hAnsi="Times New Roman"/>
                <w:sz w:val="18"/>
                <w:szCs w:val="18"/>
              </w:rPr>
              <w:t>min</w:t>
            </w:r>
          </w:p>
        </w:tc>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1C61D4"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流动相</w:t>
            </w:r>
            <w:r>
              <w:rPr>
                <w:rFonts w:ascii="Times New Roman" w:eastAsiaTheme="minorEastAsia" w:hAnsi="Times New Roman"/>
                <w:sz w:val="18"/>
                <w:szCs w:val="18"/>
              </w:rPr>
              <w:t>A</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E1D94E"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流动相</w:t>
            </w:r>
            <w:r>
              <w:rPr>
                <w:rFonts w:ascii="Times New Roman" w:eastAsiaTheme="minorEastAsia" w:hAnsi="Times New Roman"/>
                <w:sz w:val="18"/>
                <w:szCs w:val="18"/>
              </w:rPr>
              <w:t>B</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5A76A1"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流动相</w:t>
            </w:r>
            <w:r>
              <w:rPr>
                <w:rFonts w:ascii="Times New Roman" w:eastAsiaTheme="minorEastAsia" w:hAnsi="Times New Roman"/>
                <w:sz w:val="18"/>
                <w:szCs w:val="18"/>
              </w:rPr>
              <w:t>C</w:t>
            </w:r>
          </w:p>
        </w:tc>
      </w:tr>
      <w:tr w:rsidR="00F705BE" w14:paraId="29BAD3FD" w14:textId="77777777">
        <w:trPr>
          <w:trHeight w:val="324"/>
          <w:jc w:val="center"/>
        </w:trPr>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7F7FC"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0</w:t>
            </w:r>
          </w:p>
        </w:tc>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B14EF1"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2E6FEE"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55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8EB62"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40</w:t>
            </w:r>
          </w:p>
        </w:tc>
      </w:tr>
      <w:tr w:rsidR="00F705BE" w14:paraId="3AD8C829" w14:textId="77777777">
        <w:trPr>
          <w:trHeight w:val="324"/>
          <w:jc w:val="center"/>
        </w:trPr>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34C06"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2</w:t>
            </w:r>
          </w:p>
        </w:tc>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88E73"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2D8675"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55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BDE38"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40</w:t>
            </w:r>
          </w:p>
        </w:tc>
      </w:tr>
      <w:tr w:rsidR="00F705BE" w14:paraId="6145F981" w14:textId="77777777">
        <w:trPr>
          <w:trHeight w:val="324"/>
          <w:jc w:val="center"/>
        </w:trPr>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3A11E"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8</w:t>
            </w:r>
          </w:p>
        </w:tc>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8B5AB"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EE3CAE"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85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ADE11"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10</w:t>
            </w:r>
          </w:p>
        </w:tc>
      </w:tr>
      <w:tr w:rsidR="00F705BE" w14:paraId="301576D1" w14:textId="77777777">
        <w:trPr>
          <w:trHeight w:val="324"/>
          <w:jc w:val="center"/>
        </w:trPr>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1C711"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10</w:t>
            </w:r>
          </w:p>
        </w:tc>
        <w:tc>
          <w:tcPr>
            <w:tcW w:w="14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BEC506"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93598"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55</w:t>
            </w:r>
          </w:p>
        </w:tc>
        <w:tc>
          <w:tcPr>
            <w:tcW w:w="14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9EDD3" w14:textId="77777777" w:rsidR="00F705BE" w:rsidRDefault="00000000">
            <w:pPr>
              <w:jc w:val="center"/>
              <w:rPr>
                <w:rFonts w:ascii="Times New Roman" w:hAnsi="Times New Roman"/>
                <w:sz w:val="18"/>
                <w:szCs w:val="18"/>
              </w:rPr>
            </w:pPr>
            <w:r>
              <w:rPr>
                <w:rFonts w:ascii="Times New Roman" w:eastAsiaTheme="minorEastAsia" w:hAnsi="Times New Roman"/>
                <w:sz w:val="18"/>
                <w:szCs w:val="18"/>
              </w:rPr>
              <w:t>40</w:t>
            </w:r>
          </w:p>
        </w:tc>
      </w:tr>
    </w:tbl>
    <w:p w14:paraId="427C0E7C" w14:textId="77777777" w:rsidR="00F705BE" w:rsidRDefault="00F705BE">
      <w:pPr>
        <w:pStyle w:val="a5"/>
        <w:spacing w:line="360" w:lineRule="auto"/>
        <w:ind w:firstLine="412"/>
        <w:rPr>
          <w:rFonts w:ascii="Times New Roman" w:hint="eastAsia"/>
        </w:rPr>
      </w:pPr>
    </w:p>
    <w:p w14:paraId="2C448DBB" w14:textId="77777777" w:rsidR="00F705BE" w:rsidRDefault="00000000">
      <w:pPr>
        <w:pStyle w:val="a5"/>
        <w:spacing w:line="360" w:lineRule="auto"/>
        <w:ind w:firstLineChars="396" w:firstLine="832"/>
        <w:rPr>
          <w:rFonts w:ascii="Times New Roman" w:hint="eastAsia"/>
          <w:lang w:eastAsia="zh-CN"/>
        </w:rPr>
      </w:pPr>
      <w:r>
        <w:rPr>
          <w:rFonts w:ascii="Times New Roman"/>
          <w:lang w:eastAsia="zh-CN"/>
        </w:rPr>
        <w:t>在上述条件下</w:t>
      </w:r>
      <w:r>
        <w:rPr>
          <w:rFonts w:ascii="Times New Roman"/>
          <w:lang w:eastAsia="zh-CN"/>
        </w:rPr>
        <w:t xml:space="preserve">, </w:t>
      </w:r>
      <w:r>
        <w:rPr>
          <w:rFonts w:ascii="Times New Roman"/>
          <w:lang w:eastAsia="zh-CN"/>
        </w:rPr>
        <w:t>二牛脂基二甲基氯化铵标准工作溶液的提取离子色谱图见图</w:t>
      </w:r>
      <w:r>
        <w:rPr>
          <w:rFonts w:ascii="Times New Roman" w:hint="eastAsia"/>
          <w:lang w:eastAsia="zh-CN"/>
        </w:rPr>
        <w:t>1</w:t>
      </w:r>
      <w:r>
        <w:rPr>
          <w:rFonts w:ascii="Times New Roman" w:hint="eastAsia"/>
          <w:lang w:eastAsia="zh-CN"/>
        </w:rPr>
        <w:t>。</w:t>
      </w:r>
    </w:p>
    <w:p w14:paraId="5CFDFAE0" w14:textId="77777777" w:rsidR="00F705BE" w:rsidRDefault="00000000">
      <w:pPr>
        <w:pStyle w:val="a5"/>
        <w:spacing w:line="360" w:lineRule="auto"/>
        <w:jc w:val="center"/>
        <w:rPr>
          <w:rFonts w:hint="eastAsia"/>
        </w:rPr>
      </w:pPr>
      <w:r>
        <w:rPr>
          <w:noProof/>
        </w:rPr>
        <mc:AlternateContent>
          <mc:Choice Requires="wps">
            <w:drawing>
              <wp:anchor distT="0" distB="0" distL="114300" distR="114300" simplePos="0" relativeHeight="251661312" behindDoc="0" locked="0" layoutInCell="1" allowOverlap="1" wp14:anchorId="4F258267" wp14:editId="6D089BC2">
                <wp:simplePos x="0" y="0"/>
                <wp:positionH relativeFrom="column">
                  <wp:posOffset>4592320</wp:posOffset>
                </wp:positionH>
                <wp:positionV relativeFrom="paragraph">
                  <wp:posOffset>2345055</wp:posOffset>
                </wp:positionV>
                <wp:extent cx="257810" cy="389890"/>
                <wp:effectExtent l="0" t="0" r="0" b="0"/>
                <wp:wrapNone/>
                <wp:docPr id="6" name="文本框 6"/>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0F286" w14:textId="77777777" w:rsidR="00F705BE" w:rsidRDefault="00000000">
                            <w:pPr>
                              <w:jc w:val="center"/>
                              <w:rPr>
                                <w:rFonts w:ascii="Times New Roman" w:eastAsiaTheme="minorEastAsia" w:hAnsi="Times New Roman" w:cs="Times New Roman"/>
                                <w:sz w:val="18"/>
                                <w:szCs w:val="18"/>
                                <w:lang w:eastAsia="zh-CN"/>
                              </w:rPr>
                            </w:pPr>
                            <w:r>
                              <w:rPr>
                                <w:rFonts w:ascii="Times New Roman" w:hAnsi="Times New Roman" w:cs="Times New Roman" w:hint="eastAsia"/>
                                <w:sz w:val="18"/>
                                <w:szCs w:val="18"/>
                                <w:lang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F258267" id="_x0000_t202" coordsize="21600,21600" o:spt="202" path="m,l,21600r21600,l21600,xe">
                <v:stroke joinstyle="miter"/>
                <v:path gradientshapeok="t" o:connecttype="rect"/>
              </v:shapetype>
              <v:shape id="文本框 6" o:spid="_x0000_s1026" type="#_x0000_t202" style="position:absolute;left:0;text-align:left;margin-left:361.6pt;margin-top:184.65pt;width:20.3pt;height:30.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" filled="f" stroked="f" strokeweight=".5pt">
                <v:textbox>
                  <w:txbxContent>
                    <w:p w14:paraId="4660F286" w14:textId="77777777" w:rsidR="00F705BE" w:rsidRDefault="00000000">
                      <w:pPr>
                        <w:jc w:val="center"/>
                        <w:rPr>
                          <w:rFonts w:ascii="Times New Roman" w:eastAsiaTheme="minorEastAsia" w:hAnsi="Times New Roman" w:cs="Times New Roman"/>
                          <w:sz w:val="18"/>
                          <w:szCs w:val="18"/>
                          <w:lang w:eastAsia="zh-CN"/>
                        </w:rPr>
                      </w:pPr>
                      <w:r>
                        <w:rPr>
                          <w:rFonts w:ascii="Times New Roman" w:hAnsi="Times New Roman" w:cs="Times New Roman" w:hint="eastAsia"/>
                          <w:sz w:val="18"/>
                          <w:szCs w:val="18"/>
                          <w:lang w:eastAsia="zh-CN"/>
                        </w:rPr>
                        <w:t>3</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E4C425B" wp14:editId="4E9A9804">
                <wp:simplePos x="0" y="0"/>
                <wp:positionH relativeFrom="column">
                  <wp:posOffset>4260215</wp:posOffset>
                </wp:positionH>
                <wp:positionV relativeFrom="paragraph">
                  <wp:posOffset>1226185</wp:posOffset>
                </wp:positionV>
                <wp:extent cx="257810" cy="3898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7C2E9" w14:textId="77777777" w:rsidR="00F705BE" w:rsidRDefault="00000000">
                            <w:pPr>
                              <w:jc w:val="center"/>
                              <w:rPr>
                                <w:rFonts w:ascii="Times New Roman" w:eastAsiaTheme="minorEastAsia" w:hAnsi="Times New Roman" w:cs="Times New Roman"/>
                                <w:sz w:val="18"/>
                                <w:szCs w:val="18"/>
                                <w:lang w:eastAsia="zh-CN"/>
                              </w:rPr>
                            </w:pPr>
                            <w:r>
                              <w:rPr>
                                <w:rFonts w:ascii="Times New Roman" w:hAnsi="Times New Roman" w:cs="Times New Roman" w:hint="eastAsia"/>
                                <w:sz w:val="18"/>
                                <w:szCs w:val="18"/>
                                <w:lang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E4C425B" id="文本框 5" o:spid="_x0000_s1027" type="#_x0000_t202" style="position:absolute;left:0;text-align:left;margin-left:335.45pt;margin-top:96.55pt;width:20.3pt;height:30.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" filled="f" stroked="f" strokeweight=".5pt">
                <v:textbox>
                  <w:txbxContent>
                    <w:p w14:paraId="3E07C2E9" w14:textId="77777777" w:rsidR="00F705BE" w:rsidRDefault="00000000">
                      <w:pPr>
                        <w:jc w:val="center"/>
                        <w:rPr>
                          <w:rFonts w:ascii="Times New Roman" w:eastAsiaTheme="minorEastAsia" w:hAnsi="Times New Roman" w:cs="Times New Roman"/>
                          <w:sz w:val="18"/>
                          <w:szCs w:val="18"/>
                          <w:lang w:eastAsia="zh-CN"/>
                        </w:rPr>
                      </w:pPr>
                      <w:r>
                        <w:rPr>
                          <w:rFonts w:ascii="Times New Roman" w:hAnsi="Times New Roman" w:cs="Times New Roman" w:hint="eastAsia"/>
                          <w:sz w:val="18"/>
                          <w:szCs w:val="18"/>
                          <w:lang w:eastAsia="zh-CN"/>
                        </w:rPr>
                        <w:t>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BC6AE24" wp14:editId="30136901">
                <wp:simplePos x="0" y="0"/>
                <wp:positionH relativeFrom="column">
                  <wp:posOffset>3928110</wp:posOffset>
                </wp:positionH>
                <wp:positionV relativeFrom="paragraph">
                  <wp:posOffset>109220</wp:posOffset>
                </wp:positionV>
                <wp:extent cx="257810" cy="3898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E36F40" w14:textId="77777777" w:rsidR="00F705BE" w:rsidRDefault="00000000">
                            <w:pPr>
                              <w:jc w:val="center"/>
                              <w:rPr>
                                <w:rFonts w:ascii="Times New Roman" w:eastAsiaTheme="minorEastAsia" w:hAnsi="Times New Roman" w:cs="Times New Roman"/>
                                <w:sz w:val="18"/>
                                <w:szCs w:val="18"/>
                                <w:lang w:eastAsia="zh-CN"/>
                              </w:rPr>
                            </w:pPr>
                            <w:r>
                              <w:rPr>
                                <w:rFonts w:ascii="Times New Roman" w:hAnsi="Times New Roman" w:cs="Times New Roman"/>
                                <w:sz w:val="18"/>
                                <w:szCs w:val="18"/>
                                <w:lang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BC6AE24" id="文本框 4" o:spid="_x0000_s1028" type="#_x0000_t202" style="position:absolute;left:0;text-align:left;margin-left:309.3pt;margin-top:8.6pt;width:20.3pt;height:30.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" filled="f" stroked="f" strokeweight=".5pt">
                <v:textbox>
                  <w:txbxContent>
                    <w:p w14:paraId="3BE36F40" w14:textId="77777777" w:rsidR="00F705BE" w:rsidRDefault="00000000">
                      <w:pPr>
                        <w:jc w:val="center"/>
                        <w:rPr>
                          <w:rFonts w:ascii="Times New Roman" w:eastAsiaTheme="minorEastAsia" w:hAnsi="Times New Roman" w:cs="Times New Roman"/>
                          <w:sz w:val="18"/>
                          <w:szCs w:val="18"/>
                          <w:lang w:eastAsia="zh-CN"/>
                        </w:rPr>
                      </w:pPr>
                      <w:r>
                        <w:rPr>
                          <w:rFonts w:ascii="Times New Roman" w:hAnsi="Times New Roman" w:cs="Times New Roman"/>
                          <w:sz w:val="18"/>
                          <w:szCs w:val="18"/>
                          <w:lang w:eastAsia="zh-CN"/>
                        </w:rPr>
                        <w:t>1</w:t>
                      </w:r>
                    </w:p>
                  </w:txbxContent>
                </v:textbox>
              </v:shape>
            </w:pict>
          </mc:Fallback>
        </mc:AlternateContent>
      </w:r>
      <w:r>
        <w:rPr>
          <w:noProof/>
        </w:rPr>
        <w:drawing>
          <wp:inline distT="0" distB="0" distL="114300" distR="114300" wp14:anchorId="73B0219A" wp14:editId="470613C5">
            <wp:extent cx="5267960" cy="3538855"/>
            <wp:effectExtent l="0" t="0" r="254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5267960" cy="3538855"/>
                    </a:xfrm>
                    <a:prstGeom prst="rect">
                      <a:avLst/>
                    </a:prstGeom>
                    <a:noFill/>
                    <a:ln>
                      <a:noFill/>
                    </a:ln>
                  </pic:spPr>
                </pic:pic>
              </a:graphicData>
            </a:graphic>
          </wp:inline>
        </w:drawing>
      </w:r>
    </w:p>
    <w:p w14:paraId="168E4935" w14:textId="77777777" w:rsidR="00F705BE" w:rsidRDefault="00000000">
      <w:pPr>
        <w:pStyle w:val="a8"/>
        <w:ind w:firstLine="420"/>
        <w:rPr>
          <w:rFonts w:ascii="Times New Roman"/>
        </w:rPr>
      </w:pPr>
      <w:r>
        <w:rPr>
          <w:rFonts w:ascii="Times New Roman"/>
        </w:rPr>
        <w:t>说明：</w:t>
      </w:r>
    </w:p>
    <w:p w14:paraId="6B9B23F5" w14:textId="77777777" w:rsidR="00F705BE" w:rsidRDefault="00000000">
      <w:pPr>
        <w:pStyle w:val="a0"/>
        <w:numPr>
          <w:ilvl w:val="0"/>
          <w:numId w:val="0"/>
        </w:numPr>
        <w:ind w:left="851" w:hanging="426"/>
        <w:rPr>
          <w:rFonts w:ascii="Times New Roman"/>
        </w:rPr>
      </w:pPr>
      <w:r>
        <w:rPr>
          <w:rFonts w:ascii="Times New Roman"/>
        </w:rPr>
        <w:t>1——</w:t>
      </w:r>
      <w:r>
        <w:rPr>
          <w:rFonts w:ascii="Times New Roman"/>
        </w:rPr>
        <w:t>双十六烷基二甲基氯化铵，</w:t>
      </w:r>
      <w:r>
        <w:rPr>
          <w:rFonts w:ascii="Times New Roman"/>
        </w:rPr>
        <w:t>RT</w:t>
      </w:r>
      <w:r>
        <w:rPr>
          <w:rFonts w:ascii="Times New Roman"/>
        </w:rPr>
        <w:t>：</w:t>
      </w:r>
      <w:r>
        <w:rPr>
          <w:rFonts w:ascii="Times New Roman"/>
        </w:rPr>
        <w:t>6.</w:t>
      </w:r>
      <w:r>
        <w:rPr>
          <w:rFonts w:ascii="Times New Roman" w:hint="eastAsia"/>
        </w:rPr>
        <w:t>34</w:t>
      </w:r>
      <w:r>
        <w:rPr>
          <w:rFonts w:ascii="Times New Roman"/>
        </w:rPr>
        <w:t>，</w:t>
      </w:r>
      <w:r>
        <w:rPr>
          <w:rFonts w:ascii="Times New Roman"/>
          <w:i/>
          <w:iCs/>
        </w:rPr>
        <w:t xml:space="preserve">m/z </w:t>
      </w:r>
      <w:r>
        <w:rPr>
          <w:rFonts w:ascii="Times New Roman"/>
        </w:rPr>
        <w:t>494.6</w:t>
      </w:r>
      <w:r>
        <w:rPr>
          <w:rFonts w:ascii="Times New Roman"/>
        </w:rPr>
        <w:t>；</w:t>
      </w:r>
      <w:r>
        <w:rPr>
          <w:rFonts w:ascii="Times New Roman"/>
          <w:i/>
          <w:iCs/>
        </w:rPr>
        <w:t xml:space="preserve"> </w:t>
      </w:r>
    </w:p>
    <w:p w14:paraId="39BF6690" w14:textId="77777777" w:rsidR="00F705BE" w:rsidRDefault="00000000">
      <w:pPr>
        <w:pStyle w:val="a0"/>
        <w:numPr>
          <w:ilvl w:val="0"/>
          <w:numId w:val="0"/>
        </w:numPr>
        <w:ind w:left="851" w:hanging="426"/>
        <w:rPr>
          <w:rFonts w:ascii="Times New Roman"/>
        </w:rPr>
      </w:pPr>
      <w:r>
        <w:rPr>
          <w:rFonts w:ascii="Times New Roman"/>
        </w:rPr>
        <w:t>2——</w:t>
      </w:r>
      <w:r>
        <w:rPr>
          <w:rFonts w:ascii="Times New Roman"/>
        </w:rPr>
        <w:t>十六烷基十八烷基二甲基氯化铵，</w:t>
      </w:r>
      <w:r>
        <w:rPr>
          <w:rFonts w:ascii="Times New Roman"/>
        </w:rPr>
        <w:t>RT</w:t>
      </w:r>
      <w:r>
        <w:rPr>
          <w:rFonts w:ascii="Times New Roman"/>
        </w:rPr>
        <w:t>：</w:t>
      </w:r>
      <w:r>
        <w:rPr>
          <w:rFonts w:ascii="Times New Roman" w:hint="eastAsia"/>
        </w:rPr>
        <w:t>7.08</w:t>
      </w:r>
      <w:r>
        <w:rPr>
          <w:rFonts w:ascii="Times New Roman"/>
        </w:rPr>
        <w:t>，</w:t>
      </w:r>
      <w:r>
        <w:rPr>
          <w:rFonts w:ascii="Times New Roman"/>
          <w:i/>
          <w:iCs/>
        </w:rPr>
        <w:t>m/z</w:t>
      </w:r>
      <w:r>
        <w:rPr>
          <w:rFonts w:ascii="Times New Roman"/>
        </w:rPr>
        <w:t xml:space="preserve"> 522.6</w:t>
      </w:r>
      <w:r>
        <w:rPr>
          <w:rFonts w:ascii="Times New Roman"/>
        </w:rPr>
        <w:t>；</w:t>
      </w:r>
    </w:p>
    <w:p w14:paraId="7ECE8630" w14:textId="77777777" w:rsidR="00F705BE" w:rsidRDefault="00000000">
      <w:pPr>
        <w:pStyle w:val="a5"/>
        <w:spacing w:line="360" w:lineRule="auto"/>
        <w:ind w:firstLineChars="200" w:firstLine="420"/>
        <w:jc w:val="both"/>
        <w:rPr>
          <w:rFonts w:hint="eastAsia"/>
          <w:lang w:eastAsia="zh-CN"/>
        </w:rPr>
      </w:pPr>
      <w:r>
        <w:rPr>
          <w:rFonts w:ascii="Times New Roman"/>
          <w:lang w:eastAsia="zh-CN"/>
        </w:rPr>
        <w:t>3</w:t>
      </w:r>
      <w:r>
        <w:rPr>
          <w:rFonts w:ascii="Times New Roman"/>
          <w:lang w:eastAsia="zh-CN"/>
        </w:rPr>
        <w:t>——双十八烷基二甲基氯化铵，</w:t>
      </w:r>
      <w:r>
        <w:rPr>
          <w:rFonts w:ascii="Times New Roman"/>
          <w:lang w:eastAsia="zh-CN"/>
        </w:rPr>
        <w:t>RT</w:t>
      </w:r>
      <w:r>
        <w:rPr>
          <w:rFonts w:ascii="Times New Roman"/>
          <w:lang w:eastAsia="zh-CN"/>
        </w:rPr>
        <w:t>：</w:t>
      </w:r>
      <w:r>
        <w:rPr>
          <w:rFonts w:ascii="Times New Roman"/>
          <w:lang w:eastAsia="zh-CN"/>
        </w:rPr>
        <w:t>7.</w:t>
      </w:r>
      <w:r>
        <w:rPr>
          <w:rFonts w:ascii="Times New Roman" w:hint="eastAsia"/>
          <w:lang w:eastAsia="zh-CN"/>
        </w:rPr>
        <w:t>73</w:t>
      </w:r>
      <w:r>
        <w:rPr>
          <w:rFonts w:ascii="Times New Roman"/>
          <w:lang w:eastAsia="zh-CN"/>
        </w:rPr>
        <w:t>，</w:t>
      </w:r>
      <w:r>
        <w:rPr>
          <w:rFonts w:ascii="Times New Roman"/>
          <w:i/>
          <w:iCs/>
          <w:lang w:eastAsia="zh-CN"/>
        </w:rPr>
        <w:t>m/z</w:t>
      </w:r>
      <w:r>
        <w:rPr>
          <w:rFonts w:ascii="Times New Roman"/>
          <w:lang w:eastAsia="zh-CN"/>
        </w:rPr>
        <w:t xml:space="preserve"> 550.7</w:t>
      </w:r>
      <w:r>
        <w:rPr>
          <w:rFonts w:ascii="Times New Roman"/>
          <w:lang w:eastAsia="zh-CN"/>
        </w:rPr>
        <w:t>。</w:t>
      </w:r>
    </w:p>
    <w:p w14:paraId="53FEE482" w14:textId="77777777" w:rsidR="00F705BE" w:rsidRDefault="00000000">
      <w:pPr>
        <w:pStyle w:val="a5"/>
        <w:spacing w:line="360" w:lineRule="auto"/>
        <w:jc w:val="center"/>
        <w:rPr>
          <w:rFonts w:ascii="Times New Roman" w:hAnsi="Times New Roman" w:cs="Times New Roman"/>
          <w:lang w:eastAsia="zh-CN"/>
        </w:rPr>
      </w:pPr>
      <w:r>
        <w:rPr>
          <w:rFonts w:ascii="Times New Roman" w:hAnsi="Times New Roman" w:cs="Times New Roman"/>
          <w:lang w:eastAsia="zh-CN"/>
        </w:rPr>
        <w:t>图</w:t>
      </w:r>
      <w:r>
        <w:rPr>
          <w:rFonts w:ascii="Times New Roman" w:hAnsi="Times New Roman" w:cs="Times New Roman"/>
          <w:lang w:eastAsia="zh-CN"/>
        </w:rPr>
        <w:t xml:space="preserve">1 </w:t>
      </w:r>
      <w:r>
        <w:rPr>
          <w:rFonts w:ascii="Times New Roman" w:hAnsi="Times New Roman" w:cs="Times New Roman"/>
          <w:lang w:eastAsia="zh-CN"/>
        </w:rPr>
        <w:t>二牛脂基二甲基氯化铵标准工作溶液提取离子色谱图</w:t>
      </w:r>
    </w:p>
    <w:p w14:paraId="74913FD7" w14:textId="77777777" w:rsidR="00F705BE" w:rsidRDefault="00000000">
      <w:pPr>
        <w:spacing w:line="345" w:lineRule="auto"/>
        <w:rPr>
          <w:rFonts w:ascii="宋体" w:eastAsia="宋体" w:hAnsi="宋体" w:cs="宋体" w:hint="eastAsia"/>
          <w:lang w:eastAsia="zh-CN"/>
        </w:rPr>
      </w:pPr>
      <w:r>
        <w:rPr>
          <w:rFonts w:ascii="宋体" w:eastAsia="宋体" w:hAnsi="宋体" w:cs="宋体" w:hint="eastAsia"/>
          <w:lang w:eastAsia="zh-CN"/>
        </w:rPr>
        <w:t>3.2.3 检出限和定量限</w:t>
      </w:r>
    </w:p>
    <w:p w14:paraId="034B1B89" w14:textId="77777777" w:rsidR="00F705BE" w:rsidRDefault="00000000">
      <w:pPr>
        <w:spacing w:line="345" w:lineRule="auto"/>
        <w:ind w:firstLineChars="200" w:firstLine="420"/>
        <w:rPr>
          <w:rFonts w:ascii="Times New Roman" w:hAnsi="Times New Roman" w:cs="Times New Roman"/>
          <w:lang w:eastAsia="zh-CN"/>
        </w:rPr>
      </w:pPr>
      <w:r>
        <w:rPr>
          <w:rFonts w:ascii="宋体" w:eastAsia="宋体" w:hAnsi="宋体" w:cs="宋体" w:hint="eastAsia"/>
          <w:lang w:eastAsia="zh-CN"/>
        </w:rPr>
        <w:lastRenderedPageBreak/>
        <w:t>准确吸取标准储备溶液，用初始流动相溶液逐步稀释，取信噪比≥</w:t>
      </w:r>
      <w:r>
        <w:rPr>
          <w:rFonts w:ascii="Times New Roman" w:eastAsia="宋体" w:hAnsi="Times New Roman" w:cs="Times New Roman"/>
          <w:lang w:eastAsia="zh-CN"/>
        </w:rPr>
        <w:t>3</w:t>
      </w:r>
      <w:r>
        <w:rPr>
          <w:rFonts w:ascii="Times New Roman" w:eastAsia="宋体" w:hAnsi="Times New Roman" w:cs="Times New Roman" w:hint="eastAsia"/>
          <w:lang w:eastAsia="zh-CN"/>
        </w:rPr>
        <w:t>的</w:t>
      </w:r>
      <w:r>
        <w:rPr>
          <w:rFonts w:hint="eastAsia"/>
          <w:lang w:eastAsia="zh-CN"/>
        </w:rPr>
        <w:t>二硬脂基二甲基氯化铵标准溶液的最小浓度为仪器检出限，</w:t>
      </w:r>
      <w:r>
        <w:rPr>
          <w:rFonts w:ascii="宋体" w:eastAsia="宋体" w:hAnsi="宋体" w:cs="宋体" w:hint="eastAsia"/>
          <w:lang w:eastAsia="zh-CN"/>
        </w:rPr>
        <w:t>取信噪比≥</w:t>
      </w:r>
      <w:r>
        <w:rPr>
          <w:rFonts w:ascii="Times New Roman" w:eastAsia="宋体" w:hAnsi="Times New Roman" w:cs="Times New Roman" w:hint="eastAsia"/>
          <w:lang w:eastAsia="zh-CN"/>
        </w:rPr>
        <w:t>10</w:t>
      </w:r>
      <w:r>
        <w:rPr>
          <w:rFonts w:ascii="Times New Roman" w:eastAsia="宋体" w:hAnsi="Times New Roman" w:cs="Times New Roman" w:hint="eastAsia"/>
          <w:lang w:eastAsia="zh-CN"/>
        </w:rPr>
        <w:t>的</w:t>
      </w:r>
      <w:r>
        <w:rPr>
          <w:rFonts w:hint="eastAsia"/>
          <w:lang w:eastAsia="zh-CN"/>
        </w:rPr>
        <w:t>二硬脂基二甲基氯化铵标准溶液的最小浓度为仪器定量限，得到二硬脂基二甲基氯化铵的检出限为</w:t>
      </w:r>
      <w:r>
        <w:rPr>
          <w:rFonts w:ascii="Times New Roman" w:hAnsi="Times New Roman" w:cs="Times New Roman"/>
          <w:lang w:eastAsia="zh-CN"/>
        </w:rPr>
        <w:t>13.1 μg/g</w:t>
      </w:r>
      <w:r>
        <w:rPr>
          <w:rFonts w:ascii="Times New Roman" w:hAnsi="Times New Roman" w:cs="Times New Roman" w:hint="eastAsia"/>
          <w:lang w:eastAsia="zh-CN"/>
        </w:rPr>
        <w:t>，定量限为</w:t>
      </w:r>
      <w:r>
        <w:rPr>
          <w:rFonts w:ascii="Times New Roman" w:hAnsi="Times New Roman" w:cs="Times New Roman" w:hint="eastAsia"/>
          <w:lang w:eastAsia="zh-CN"/>
        </w:rPr>
        <w:t xml:space="preserve">39.4 </w:t>
      </w:r>
      <w:r>
        <w:rPr>
          <w:rFonts w:ascii="Times New Roman" w:hAnsi="Times New Roman" w:cs="Times New Roman"/>
          <w:lang w:eastAsia="zh-CN"/>
        </w:rPr>
        <w:t>μg/g</w:t>
      </w:r>
      <w:r>
        <w:rPr>
          <w:rFonts w:ascii="Times New Roman" w:hAnsi="Times New Roman" w:cs="Times New Roman" w:hint="eastAsia"/>
          <w:lang w:eastAsia="zh-CN"/>
        </w:rPr>
        <w:t>，见图</w:t>
      </w:r>
      <w:r>
        <w:rPr>
          <w:rFonts w:ascii="Times New Roman" w:hAnsi="Times New Roman" w:cs="Times New Roman" w:hint="eastAsia"/>
          <w:lang w:eastAsia="zh-CN"/>
        </w:rPr>
        <w:t>2</w:t>
      </w:r>
      <w:r>
        <w:rPr>
          <w:rFonts w:ascii="Times New Roman" w:hAnsi="Times New Roman" w:cs="Times New Roman" w:hint="eastAsia"/>
          <w:lang w:eastAsia="zh-CN"/>
        </w:rPr>
        <w:t>和图</w:t>
      </w:r>
      <w:r>
        <w:rPr>
          <w:rFonts w:ascii="Times New Roman" w:hAnsi="Times New Roman" w:cs="Times New Roman" w:hint="eastAsia"/>
          <w:lang w:eastAsia="zh-CN"/>
        </w:rPr>
        <w:t>3</w:t>
      </w:r>
      <w:r>
        <w:rPr>
          <w:rFonts w:ascii="Times New Roman" w:hAnsi="Times New Roman" w:cs="Times New Roman" w:hint="eastAsia"/>
          <w:lang w:eastAsia="zh-CN"/>
        </w:rPr>
        <w:t>。</w:t>
      </w:r>
    </w:p>
    <w:p w14:paraId="736C1721" w14:textId="77777777" w:rsidR="00F705BE" w:rsidRDefault="00000000">
      <w:pPr>
        <w:spacing w:line="345" w:lineRule="auto"/>
        <w:jc w:val="center"/>
      </w:pPr>
      <w:r>
        <w:rPr>
          <w:noProof/>
        </w:rPr>
        <w:drawing>
          <wp:inline distT="0" distB="0" distL="114300" distR="114300" wp14:anchorId="4F314C19" wp14:editId="31414BA0">
            <wp:extent cx="5269230" cy="3549015"/>
            <wp:effectExtent l="0" t="0" r="127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69230" cy="3549015"/>
                    </a:xfrm>
                    <a:prstGeom prst="rect">
                      <a:avLst/>
                    </a:prstGeom>
                    <a:noFill/>
                    <a:ln>
                      <a:noFill/>
                    </a:ln>
                  </pic:spPr>
                </pic:pic>
              </a:graphicData>
            </a:graphic>
          </wp:inline>
        </w:drawing>
      </w:r>
    </w:p>
    <w:p w14:paraId="14C04E52" w14:textId="77777777" w:rsidR="00F705BE" w:rsidRDefault="00000000">
      <w:pPr>
        <w:pStyle w:val="a5"/>
        <w:spacing w:line="360" w:lineRule="auto"/>
        <w:jc w:val="center"/>
        <w:rPr>
          <w:rFonts w:ascii="Times New Roman" w:hAnsi="Times New Roman" w:cs="Times New Roman"/>
          <w:lang w:eastAsia="zh-CN"/>
        </w:rPr>
      </w:pPr>
      <w:r>
        <w:rPr>
          <w:rFonts w:ascii="Times New Roman" w:hAnsi="Times New Roman" w:cs="Times New Roman"/>
          <w:lang w:eastAsia="zh-CN"/>
        </w:rPr>
        <w:t>图</w:t>
      </w:r>
      <w:r>
        <w:rPr>
          <w:rFonts w:ascii="Times New Roman" w:hAnsi="Times New Roman" w:cs="Times New Roman"/>
          <w:lang w:eastAsia="zh-CN"/>
        </w:rPr>
        <w:t xml:space="preserve">2 </w:t>
      </w:r>
      <w:r>
        <w:rPr>
          <w:rFonts w:ascii="Times New Roman" w:hAnsi="Times New Roman" w:cs="Times New Roman"/>
          <w:lang w:eastAsia="zh-CN"/>
        </w:rPr>
        <w:t>二牛脂基二甲基氯化铵标准工作溶液检出限提取离子色谱图</w:t>
      </w:r>
    </w:p>
    <w:p w14:paraId="3089579D" w14:textId="77777777" w:rsidR="00F705BE" w:rsidRDefault="00F705BE">
      <w:pPr>
        <w:pStyle w:val="a5"/>
        <w:spacing w:line="360" w:lineRule="auto"/>
        <w:jc w:val="center"/>
        <w:rPr>
          <w:rFonts w:hint="eastAsia"/>
          <w:lang w:eastAsia="zh-CN"/>
        </w:rPr>
      </w:pPr>
    </w:p>
    <w:p w14:paraId="1FF2E1E0" w14:textId="77777777" w:rsidR="00F705BE" w:rsidRDefault="00000000">
      <w:pPr>
        <w:pStyle w:val="a5"/>
        <w:spacing w:line="360" w:lineRule="auto"/>
        <w:jc w:val="center"/>
        <w:rPr>
          <w:rFonts w:hint="eastAsia"/>
          <w:lang w:eastAsia="zh-CN"/>
        </w:rPr>
      </w:pPr>
      <w:r>
        <w:rPr>
          <w:noProof/>
        </w:rPr>
        <w:drawing>
          <wp:inline distT="0" distB="0" distL="114300" distR="114300" wp14:anchorId="30FF0C39" wp14:editId="4384AB0B">
            <wp:extent cx="5269865" cy="336359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69865" cy="3363595"/>
                    </a:xfrm>
                    <a:prstGeom prst="rect">
                      <a:avLst/>
                    </a:prstGeom>
                    <a:noFill/>
                    <a:ln>
                      <a:noFill/>
                    </a:ln>
                  </pic:spPr>
                </pic:pic>
              </a:graphicData>
            </a:graphic>
          </wp:inline>
        </w:drawing>
      </w:r>
    </w:p>
    <w:p w14:paraId="43D01EEC" w14:textId="77777777" w:rsidR="00F705BE" w:rsidRDefault="00000000">
      <w:pPr>
        <w:pStyle w:val="a5"/>
        <w:spacing w:line="360" w:lineRule="auto"/>
        <w:jc w:val="center"/>
        <w:rPr>
          <w:rFonts w:ascii="Times New Roman" w:hAnsi="Times New Roman" w:cs="Times New Roman"/>
          <w:lang w:eastAsia="zh-CN"/>
        </w:rPr>
      </w:pPr>
      <w:r>
        <w:rPr>
          <w:rFonts w:ascii="Times New Roman" w:hAnsi="Times New Roman" w:cs="Times New Roman"/>
          <w:lang w:eastAsia="zh-CN"/>
        </w:rPr>
        <w:t>图</w:t>
      </w:r>
      <w:r>
        <w:rPr>
          <w:rFonts w:ascii="Times New Roman" w:hAnsi="Times New Roman" w:cs="Times New Roman"/>
          <w:lang w:eastAsia="zh-CN"/>
        </w:rPr>
        <w:t xml:space="preserve">3 </w:t>
      </w:r>
      <w:r>
        <w:rPr>
          <w:rFonts w:ascii="Times New Roman" w:hAnsi="Times New Roman" w:cs="Times New Roman"/>
          <w:lang w:eastAsia="zh-CN"/>
        </w:rPr>
        <w:t>二牛脂基二甲基氯化铵标准工作溶液定量限提取离子色谱图</w:t>
      </w:r>
    </w:p>
    <w:p w14:paraId="223F27B1" w14:textId="77777777" w:rsidR="00F705BE" w:rsidRDefault="00F705BE">
      <w:pPr>
        <w:pStyle w:val="a5"/>
        <w:spacing w:line="360" w:lineRule="auto"/>
        <w:jc w:val="center"/>
        <w:rPr>
          <w:rFonts w:hint="eastAsia"/>
          <w:lang w:eastAsia="zh-CN"/>
        </w:rPr>
      </w:pPr>
    </w:p>
    <w:p w14:paraId="6BE2709D" w14:textId="77777777" w:rsidR="00F705BE" w:rsidRDefault="00000000">
      <w:pPr>
        <w:pStyle w:val="a5"/>
        <w:spacing w:line="360" w:lineRule="auto"/>
        <w:rPr>
          <w:rFonts w:hint="eastAsia"/>
          <w:lang w:eastAsia="zh-CN"/>
        </w:rPr>
      </w:pPr>
      <w:r>
        <w:rPr>
          <w:rFonts w:hint="eastAsia"/>
          <w:lang w:eastAsia="zh-CN"/>
        </w:rPr>
        <w:lastRenderedPageBreak/>
        <w:t>3.2.4 外标工作曲线线性考察</w:t>
      </w:r>
    </w:p>
    <w:p w14:paraId="69072387" w14:textId="77777777" w:rsidR="00F705BE" w:rsidRDefault="00000000">
      <w:pPr>
        <w:spacing w:line="345" w:lineRule="auto"/>
        <w:ind w:firstLineChars="200" w:firstLine="420"/>
        <w:rPr>
          <w:rFonts w:ascii="宋体" w:eastAsia="宋体" w:hAnsi="宋体" w:cs="宋体" w:hint="eastAsia"/>
          <w:lang w:eastAsia="zh-CN"/>
        </w:rPr>
      </w:pPr>
      <w:r>
        <w:rPr>
          <w:rFonts w:ascii="Times New Roman" w:eastAsia="宋体" w:hAnsi="Times New Roman" w:cs="Times New Roman"/>
          <w:lang w:eastAsia="zh-CN"/>
        </w:rPr>
        <w:t>配制质量浓度为</w:t>
      </w:r>
      <w:r>
        <w:rPr>
          <w:rFonts w:ascii="Times New Roman" w:hAnsi="Times New Roman" w:cs="Times New Roman"/>
          <w:lang w:eastAsia="zh-CN"/>
        </w:rPr>
        <w:t>2</w:t>
      </w:r>
      <w:r>
        <w:rPr>
          <w:rFonts w:ascii="Times New Roman" w:eastAsia="宋体"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g/mL</w:t>
      </w:r>
      <w:r>
        <w:rPr>
          <w:rFonts w:ascii="Times New Roman" w:hAnsi="Times New Roman" w:cs="Times New Roman"/>
          <w:lang w:eastAsia="zh-CN"/>
        </w:rPr>
        <w:t>、</w:t>
      </w:r>
      <w:r>
        <w:rPr>
          <w:rFonts w:ascii="Times New Roman" w:hAnsi="Times New Roman" w:cs="Times New Roman"/>
          <w:lang w:eastAsia="zh-CN"/>
        </w:rPr>
        <w:t>1</w:t>
      </w:r>
      <w:r>
        <w:rPr>
          <w:rFonts w:ascii="Times New Roman" w:eastAsia="宋体"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g/mL</w:t>
      </w:r>
      <w:r>
        <w:rPr>
          <w:rFonts w:ascii="Times New Roman" w:hAnsi="Times New Roman" w:cs="Times New Roman"/>
          <w:lang w:eastAsia="zh-CN"/>
        </w:rPr>
        <w:t>、</w:t>
      </w:r>
      <w:r>
        <w:rPr>
          <w:rFonts w:ascii="Times New Roman" w:hAnsi="Times New Roman" w:cs="Times New Roman"/>
          <w:lang w:eastAsia="zh-CN"/>
        </w:rPr>
        <w:t>0.5</w:t>
      </w:r>
      <w:r>
        <w:rPr>
          <w:rFonts w:ascii="Times New Roman" w:eastAsia="宋体"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g/mL</w:t>
      </w:r>
      <w:r>
        <w:rPr>
          <w:rFonts w:ascii="Times New Roman" w:hAnsi="Times New Roman" w:cs="Times New Roman"/>
          <w:lang w:eastAsia="zh-CN"/>
        </w:rPr>
        <w:t>、</w:t>
      </w:r>
      <w:r>
        <w:rPr>
          <w:rFonts w:ascii="Times New Roman" w:hAnsi="Times New Roman" w:cs="Times New Roman"/>
          <w:lang w:eastAsia="zh-CN"/>
        </w:rPr>
        <w:t>0.2</w:t>
      </w:r>
      <w:r>
        <w:rPr>
          <w:rFonts w:ascii="Times New Roman" w:eastAsia="宋体"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g/mL</w:t>
      </w:r>
      <w:r>
        <w:rPr>
          <w:rFonts w:ascii="Times New Roman" w:hAnsi="Times New Roman" w:cs="Times New Roman"/>
          <w:lang w:eastAsia="zh-CN"/>
        </w:rPr>
        <w:t>、</w:t>
      </w:r>
      <w:r>
        <w:rPr>
          <w:rFonts w:ascii="Times New Roman" w:hAnsi="Times New Roman" w:cs="Times New Roman"/>
          <w:lang w:eastAsia="zh-CN"/>
        </w:rPr>
        <w:t>0.1</w:t>
      </w:r>
      <w:r>
        <w:rPr>
          <w:rFonts w:ascii="Times New Roman" w:eastAsia="宋体"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g/mL</w:t>
      </w:r>
      <w:r>
        <w:rPr>
          <w:rFonts w:ascii="Times New Roman" w:hAnsi="Times New Roman" w:cs="Times New Roman"/>
          <w:lang w:eastAsia="zh-CN"/>
        </w:rPr>
        <w:t>、</w:t>
      </w:r>
      <w:r>
        <w:rPr>
          <w:rFonts w:ascii="Times New Roman" w:hAnsi="Times New Roman" w:cs="Times New Roman"/>
          <w:lang w:eastAsia="zh-CN"/>
        </w:rPr>
        <w:t>0.05</w:t>
      </w:r>
      <w:r>
        <w:rPr>
          <w:rFonts w:ascii="Times New Roman" w:eastAsia="宋体"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g/mL</w:t>
      </w:r>
      <w:r>
        <w:rPr>
          <w:rFonts w:ascii="Times New Roman" w:hAnsi="Times New Roman" w:cs="Times New Roman"/>
          <w:lang w:eastAsia="zh-CN"/>
        </w:rPr>
        <w:t>的</w:t>
      </w:r>
      <w:r>
        <w:rPr>
          <w:rFonts w:hint="eastAsia"/>
          <w:lang w:eastAsia="zh-CN"/>
        </w:rPr>
        <w:t>二硬脂基二甲基氯化铵</w:t>
      </w:r>
      <w:r>
        <w:rPr>
          <w:rFonts w:ascii="Times New Roman" w:hAnsi="Times New Roman" w:cs="Times New Roman"/>
          <w:lang w:eastAsia="zh-CN"/>
        </w:rPr>
        <w:t>系列标准工作溶液</w:t>
      </w:r>
      <w:r>
        <w:rPr>
          <w:rFonts w:ascii="Times New Roman" w:eastAsia="宋体" w:hAnsi="Times New Roman" w:cs="Times New Roman" w:hint="eastAsia"/>
          <w:lang w:eastAsia="zh-CN"/>
        </w:rPr>
        <w:t>，按</w:t>
      </w:r>
      <w:r>
        <w:rPr>
          <w:rFonts w:ascii="Times New Roman" w:eastAsia="宋体" w:hAnsi="Times New Roman" w:cs="Times New Roman" w:hint="eastAsia"/>
          <w:lang w:eastAsia="zh-CN"/>
        </w:rPr>
        <w:t>3.2.2</w:t>
      </w:r>
      <w:r>
        <w:rPr>
          <w:rFonts w:ascii="Times New Roman" w:eastAsia="宋体" w:hAnsi="Times New Roman" w:cs="Times New Roman" w:hint="eastAsia"/>
          <w:lang w:eastAsia="zh-CN"/>
        </w:rPr>
        <w:t>所述的条件进行测定，以溶液浓度为横坐标，以双十八烷基二甲基氯化铵、十六烷基十八烷基二甲基氯化铵、双十六烷基二甲基氯化铵</w:t>
      </w:r>
      <w:r>
        <w:rPr>
          <w:rFonts w:ascii="Times New Roman" w:eastAsia="宋体" w:hAnsi="Times New Roman" w:cs="Times New Roman" w:hint="eastAsia"/>
          <w:lang w:eastAsia="zh-CN"/>
        </w:rPr>
        <w:t>3</w:t>
      </w:r>
      <w:r>
        <w:rPr>
          <w:rFonts w:ascii="Times New Roman" w:eastAsia="宋体" w:hAnsi="Times New Roman" w:cs="Times New Roman" w:hint="eastAsia"/>
          <w:lang w:eastAsia="zh-CN"/>
        </w:rPr>
        <w:t>种物质的提取离子流图色谱峰面积之和为纵坐标，绘制标准工作曲线，经线性拟合得到回归方程式：</w:t>
      </w:r>
      <w:r>
        <w:rPr>
          <w:rFonts w:ascii="Times New Roman" w:eastAsia="宋体" w:hAnsi="Times New Roman" w:cs="Times New Roman" w:hint="eastAsia"/>
          <w:lang w:eastAsia="zh-CN"/>
        </w:rPr>
        <w:t>y=76122453x+1488400</w:t>
      </w:r>
      <w:r>
        <w:rPr>
          <w:rFonts w:ascii="Times New Roman" w:eastAsia="宋体" w:hAnsi="Times New Roman" w:cs="Times New Roman" w:hint="eastAsia"/>
          <w:lang w:eastAsia="zh-CN"/>
        </w:rPr>
        <w:t>，相关系数为</w:t>
      </w:r>
      <w:r>
        <w:rPr>
          <w:rFonts w:ascii="Times New Roman" w:eastAsia="宋体" w:hAnsi="Times New Roman" w:cs="Times New Roman" w:hint="eastAsia"/>
          <w:lang w:eastAsia="zh-CN"/>
        </w:rPr>
        <w:t>0.9993</w:t>
      </w:r>
      <w:r>
        <w:rPr>
          <w:rFonts w:ascii="Times New Roman" w:eastAsia="宋体" w:hAnsi="Times New Roman" w:cs="Times New Roman" w:hint="eastAsia"/>
          <w:lang w:eastAsia="zh-CN"/>
        </w:rPr>
        <w:t>。研究表明，</w:t>
      </w:r>
      <w:r>
        <w:rPr>
          <w:rFonts w:hint="eastAsia"/>
          <w:lang w:eastAsia="zh-CN"/>
        </w:rPr>
        <w:t>二硬脂基二甲基氯化铵在</w:t>
      </w:r>
      <w:r>
        <w:rPr>
          <w:rFonts w:ascii="Times New Roman" w:hAnsi="Times New Roman" w:cs="Times New Roman"/>
          <w:lang w:eastAsia="zh-CN"/>
        </w:rPr>
        <w:t>0.05</w:t>
      </w:r>
      <w:r>
        <w:rPr>
          <w:rFonts w:ascii="Times New Roman" w:eastAsia="宋体" w:hAnsi="Times New Roman" w:cs="Times New Roman" w:hint="eastAsia"/>
          <w:lang w:eastAsia="zh-CN"/>
        </w:rPr>
        <w:t>~</w:t>
      </w:r>
      <w:r>
        <w:rPr>
          <w:rFonts w:ascii="Times New Roman" w:hAnsi="Times New Roman" w:cs="Times New Roman"/>
          <w:lang w:eastAsia="zh-CN"/>
        </w:rPr>
        <w:t>2</w:t>
      </w:r>
      <w:r>
        <w:rPr>
          <w:rFonts w:ascii="Times New Roman" w:eastAsia="宋体" w:hAnsi="Times New Roman" w:cs="Times New Roman"/>
          <w:lang w:eastAsia="zh-CN"/>
        </w:rPr>
        <w:t xml:space="preserve"> </w:t>
      </w:r>
      <w:r>
        <w:rPr>
          <w:rFonts w:ascii="Times New Roman" w:hAnsi="Times New Roman" w:cs="Times New Roman"/>
        </w:rPr>
        <w:t>μ</w:t>
      </w:r>
      <w:r>
        <w:rPr>
          <w:rFonts w:ascii="Times New Roman" w:hAnsi="Times New Roman" w:cs="Times New Roman"/>
          <w:lang w:eastAsia="zh-CN"/>
        </w:rPr>
        <w:t>g/mL</w:t>
      </w:r>
      <w:r>
        <w:rPr>
          <w:rFonts w:ascii="Times New Roman" w:eastAsia="宋体" w:hAnsi="Times New Roman" w:cs="Times New Roman" w:hint="eastAsia"/>
          <w:lang w:eastAsia="zh-CN"/>
        </w:rPr>
        <w:t>范围内线性关系良好。</w:t>
      </w:r>
    </w:p>
    <w:p w14:paraId="51EAF2D8" w14:textId="77777777" w:rsidR="00F705BE" w:rsidRDefault="00000000">
      <w:pPr>
        <w:spacing w:line="345" w:lineRule="auto"/>
        <w:rPr>
          <w:rFonts w:ascii="宋体" w:eastAsia="宋体" w:hAnsi="宋体" w:cs="宋体" w:hint="eastAsia"/>
          <w:lang w:eastAsia="zh-CN"/>
        </w:rPr>
      </w:pPr>
      <w:r>
        <w:rPr>
          <w:rFonts w:ascii="宋体" w:eastAsia="宋体" w:hAnsi="宋体" w:cs="宋体" w:hint="eastAsia"/>
          <w:lang w:eastAsia="zh-CN"/>
        </w:rPr>
        <w:t>3.2.5 准确度</w:t>
      </w:r>
    </w:p>
    <w:p w14:paraId="3D732B86" w14:textId="77777777" w:rsidR="00F705BE" w:rsidRDefault="00000000">
      <w:pPr>
        <w:spacing w:line="345" w:lineRule="auto"/>
        <w:ind w:firstLineChars="200" w:firstLine="420"/>
        <w:rPr>
          <w:rFonts w:ascii="Times New Roman" w:eastAsia="宋体" w:hAnsi="Times New Roman" w:cs="Times New Roman"/>
          <w:lang w:eastAsia="zh-CN"/>
        </w:rPr>
      </w:pPr>
      <w:r>
        <w:rPr>
          <w:rFonts w:ascii="宋体" w:eastAsia="宋体" w:hAnsi="宋体" w:cs="宋体" w:hint="eastAsia"/>
          <w:lang w:eastAsia="zh-CN"/>
        </w:rPr>
        <w:t>由于未能找到</w:t>
      </w:r>
      <w:r>
        <w:rPr>
          <w:rFonts w:hint="eastAsia"/>
          <w:lang w:eastAsia="zh-CN"/>
        </w:rPr>
        <w:t>二牛脂基二甲基氯化铵</w:t>
      </w:r>
      <w:r>
        <w:rPr>
          <w:rFonts w:ascii="宋体" w:eastAsia="宋体" w:hAnsi="宋体" w:cs="宋体" w:hint="eastAsia"/>
          <w:lang w:eastAsia="zh-CN"/>
        </w:rPr>
        <w:t>的阳性样品，故在基质中，添加不同水平标准品，采用加标回收的方式进行平行测定。各基质中添加水平在</w:t>
      </w:r>
      <w:r>
        <w:rPr>
          <w:rFonts w:ascii="Times New Roman" w:eastAsia="宋体" w:hAnsi="Times New Roman" w:cs="Times New Roman"/>
          <w:lang w:eastAsia="zh-CN"/>
        </w:rPr>
        <w:t>0.5‰</w:t>
      </w:r>
      <w:r>
        <w:rPr>
          <w:rFonts w:ascii="Times New Roman" w:eastAsia="宋体" w:hAnsi="Times New Roman" w:cs="Times New Roman" w:hint="eastAsia"/>
          <w:lang w:eastAsia="zh-CN"/>
        </w:rPr>
        <w:t>、</w:t>
      </w:r>
      <w:r>
        <w:rPr>
          <w:rFonts w:ascii="Times New Roman" w:eastAsia="宋体" w:hAnsi="Times New Roman" w:cs="Times New Roman" w:hint="eastAsia"/>
          <w:lang w:eastAsia="zh-CN"/>
        </w:rPr>
        <w:t>1</w:t>
      </w:r>
      <w:r>
        <w:rPr>
          <w:rFonts w:ascii="Times New Roman" w:eastAsia="宋体" w:hAnsi="Times New Roman" w:cs="Times New Roman"/>
          <w:lang w:eastAsia="zh-CN"/>
        </w:rPr>
        <w:t>‰</w:t>
      </w:r>
      <w:r>
        <w:rPr>
          <w:rFonts w:ascii="Times New Roman" w:eastAsia="宋体" w:hAnsi="Times New Roman" w:cs="Times New Roman" w:hint="eastAsia"/>
          <w:lang w:eastAsia="zh-CN"/>
        </w:rPr>
        <w:t>、</w:t>
      </w:r>
      <w:r>
        <w:rPr>
          <w:rFonts w:ascii="Times New Roman" w:eastAsia="宋体" w:hAnsi="Times New Roman" w:cs="Times New Roman" w:hint="eastAsia"/>
          <w:lang w:eastAsia="zh-CN"/>
        </w:rPr>
        <w:t>2</w:t>
      </w:r>
      <w:r>
        <w:rPr>
          <w:rFonts w:ascii="Times New Roman" w:eastAsia="宋体" w:hAnsi="Times New Roman" w:cs="Times New Roman"/>
          <w:lang w:eastAsia="zh-CN"/>
        </w:rPr>
        <w:t>‰</w:t>
      </w:r>
      <w:r>
        <w:rPr>
          <w:rFonts w:ascii="Times New Roman" w:eastAsia="宋体" w:hAnsi="Times New Roman" w:cs="Times New Roman" w:hint="eastAsia"/>
          <w:lang w:eastAsia="zh-CN"/>
        </w:rPr>
        <w:t>进行，计算添加水平的回收率和测定结果的相对标准偏差（</w:t>
      </w:r>
      <w:r>
        <w:rPr>
          <w:rFonts w:ascii="Times New Roman" w:eastAsia="宋体" w:hAnsi="Times New Roman" w:cs="Times New Roman" w:hint="eastAsia"/>
          <w:lang w:eastAsia="zh-CN"/>
        </w:rPr>
        <w:t>RSD</w:t>
      </w:r>
      <w:r>
        <w:rPr>
          <w:rFonts w:ascii="Times New Roman" w:eastAsia="宋体" w:hAnsi="Times New Roman" w:cs="Times New Roman" w:hint="eastAsia"/>
          <w:lang w:eastAsia="zh-CN"/>
        </w:rPr>
        <w:t>），考察方法的准确度。各基质样品在添加水平上方法的准确度可满足分析的要求。详见表</w:t>
      </w:r>
      <w:r>
        <w:rPr>
          <w:rFonts w:ascii="Times New Roman" w:eastAsia="宋体" w:hAnsi="Times New Roman" w:cs="Times New Roman" w:hint="eastAsia"/>
          <w:lang w:eastAsia="zh-CN"/>
        </w:rPr>
        <w:t>2~4</w:t>
      </w:r>
      <w:r>
        <w:rPr>
          <w:rFonts w:ascii="Times New Roman" w:eastAsia="宋体" w:hAnsi="Times New Roman" w:cs="Times New Roman" w:hint="eastAsia"/>
          <w:lang w:eastAsia="zh-CN"/>
        </w:rPr>
        <w:t>。</w:t>
      </w:r>
    </w:p>
    <w:p w14:paraId="06599278" w14:textId="77777777" w:rsidR="00F705BE" w:rsidRDefault="00000000">
      <w:pPr>
        <w:spacing w:line="345" w:lineRule="auto"/>
        <w:jc w:val="center"/>
        <w:rPr>
          <w:lang w:eastAsia="zh-CN"/>
        </w:rPr>
      </w:pPr>
      <w:r>
        <w:rPr>
          <w:rFonts w:ascii="Times New Roman" w:eastAsia="宋体" w:hAnsi="Times New Roman" w:cs="Times New Roman"/>
          <w:lang w:eastAsia="zh-CN"/>
        </w:rPr>
        <w:t>表</w:t>
      </w:r>
      <w:r>
        <w:rPr>
          <w:rFonts w:ascii="Times New Roman" w:eastAsia="宋体" w:hAnsi="Times New Roman" w:cs="Times New Roman" w:hint="eastAsia"/>
          <w:lang w:eastAsia="zh-CN"/>
        </w:rPr>
        <w:t xml:space="preserve">2 </w:t>
      </w:r>
      <w:r>
        <w:rPr>
          <w:rFonts w:ascii="Times New Roman" w:eastAsia="宋体" w:hAnsi="Times New Roman" w:cs="Times New Roman" w:hint="eastAsia"/>
          <w:lang w:eastAsia="zh-CN"/>
        </w:rPr>
        <w:t>液体样品基质中</w:t>
      </w:r>
      <w:r>
        <w:rPr>
          <w:rFonts w:hint="eastAsia"/>
          <w:lang w:eastAsia="zh-CN"/>
        </w:rPr>
        <w:t>二牛脂基二甲基氯化铵加标测定准确度结果</w:t>
      </w:r>
    </w:p>
    <w:tbl>
      <w:tblPr>
        <w:tblW w:w="6400" w:type="dxa"/>
        <w:jc w:val="center"/>
        <w:tblLayout w:type="fixed"/>
        <w:tblLook w:val="04A0" w:firstRow="1" w:lastRow="0" w:firstColumn="1" w:lastColumn="0" w:noHBand="0" w:noVBand="1"/>
      </w:tblPr>
      <w:tblGrid>
        <w:gridCol w:w="990"/>
        <w:gridCol w:w="1207"/>
        <w:gridCol w:w="1370"/>
        <w:gridCol w:w="1180"/>
        <w:gridCol w:w="810"/>
        <w:gridCol w:w="843"/>
      </w:tblGrid>
      <w:tr w:rsidR="00F705BE" w14:paraId="6B7F693D" w14:textId="77777777">
        <w:trPr>
          <w:trHeight w:val="113"/>
          <w:jc w:val="center"/>
        </w:trPr>
        <w:tc>
          <w:tcPr>
            <w:tcW w:w="990" w:type="dxa"/>
            <w:tcBorders>
              <w:top w:val="single" w:sz="4" w:space="0" w:color="000000"/>
              <w:left w:val="single" w:sz="4" w:space="0" w:color="000000"/>
              <w:bottom w:val="single" w:sz="4" w:space="0" w:color="000000"/>
              <w:right w:val="single" w:sz="4" w:space="0" w:color="000000"/>
            </w:tcBorders>
            <w:vAlign w:val="center"/>
          </w:tcPr>
          <w:p w14:paraId="3554B074"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添加</w:t>
            </w:r>
            <w:r>
              <w:rPr>
                <w:rStyle w:val="font01"/>
                <w:color w:val="auto"/>
                <w:sz w:val="18"/>
                <w:szCs w:val="18"/>
                <w:lang w:eastAsia="zh-CN" w:bidi="ar"/>
              </w:rPr>
              <w:t>水平</w:t>
            </w:r>
          </w:p>
        </w:tc>
        <w:tc>
          <w:tcPr>
            <w:tcW w:w="1207" w:type="dxa"/>
            <w:tcBorders>
              <w:top w:val="single" w:sz="4" w:space="0" w:color="000000"/>
              <w:left w:val="single" w:sz="4" w:space="0" w:color="000000"/>
              <w:bottom w:val="single" w:sz="4" w:space="0" w:color="000000"/>
              <w:right w:val="single" w:sz="4" w:space="0" w:color="000000"/>
            </w:tcBorders>
            <w:vAlign w:val="center"/>
          </w:tcPr>
          <w:p w14:paraId="0D022816"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加入量(</w:t>
            </w:r>
            <w:r>
              <w:rPr>
                <w:rStyle w:val="font31"/>
                <w:rFonts w:eastAsia="宋体" w:hint="eastAsia"/>
                <w:color w:val="auto"/>
                <w:sz w:val="18"/>
                <w:szCs w:val="18"/>
                <w:lang w:eastAsia="zh-CN" w:bidi="ar"/>
              </w:rPr>
              <w:t>m</w:t>
            </w:r>
            <w:r>
              <w:rPr>
                <w:rStyle w:val="font31"/>
                <w:rFonts w:eastAsia="宋体"/>
                <w:color w:val="auto"/>
                <w:sz w:val="18"/>
                <w:szCs w:val="18"/>
                <w:lang w:eastAsia="zh-CN" w:bidi="ar"/>
              </w:rPr>
              <w:t>g</w:t>
            </w:r>
            <w:r>
              <w:rPr>
                <w:rStyle w:val="font31"/>
                <w:rFonts w:eastAsia="宋体" w:hint="eastAsia"/>
                <w:color w:val="auto"/>
                <w:sz w:val="18"/>
                <w:szCs w:val="18"/>
                <w:lang w:eastAsia="zh-CN" w:bidi="ar"/>
              </w:rPr>
              <w:t>/g</w:t>
            </w:r>
            <w:r>
              <w:rPr>
                <w:rStyle w:val="font01"/>
                <w:color w:val="auto"/>
                <w:sz w:val="18"/>
                <w:szCs w:val="18"/>
                <w:lang w:eastAsia="zh-CN" w:bidi="ar"/>
              </w:rPr>
              <w:t>)</w:t>
            </w:r>
          </w:p>
        </w:tc>
        <w:tc>
          <w:tcPr>
            <w:tcW w:w="1370" w:type="dxa"/>
            <w:tcBorders>
              <w:top w:val="single" w:sz="4" w:space="0" w:color="000000"/>
              <w:left w:val="single" w:sz="4" w:space="0" w:color="000000"/>
              <w:bottom w:val="single" w:sz="4" w:space="0" w:color="000000"/>
              <w:right w:val="single" w:sz="4" w:space="0" w:color="000000"/>
            </w:tcBorders>
            <w:vAlign w:val="center"/>
          </w:tcPr>
          <w:p w14:paraId="26C89495"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检测结果</w:t>
            </w:r>
            <w:r>
              <w:rPr>
                <w:rStyle w:val="font11"/>
                <w:rFonts w:eastAsia="宋体"/>
                <w:color w:val="auto"/>
                <w:sz w:val="18"/>
                <w:szCs w:val="18"/>
                <w:lang w:eastAsia="zh-CN" w:bidi="ar"/>
              </w:rPr>
              <w:t xml:space="preserve">         (</w:t>
            </w:r>
            <w:r>
              <w:rPr>
                <w:rStyle w:val="font31"/>
                <w:rFonts w:eastAsia="宋体" w:hint="eastAsia"/>
                <w:color w:val="auto"/>
                <w:sz w:val="18"/>
                <w:szCs w:val="18"/>
                <w:lang w:eastAsia="zh-CN" w:bidi="ar"/>
              </w:rPr>
              <w:t>m</w:t>
            </w:r>
            <w:r>
              <w:rPr>
                <w:rStyle w:val="font31"/>
                <w:rFonts w:eastAsia="宋体"/>
                <w:color w:val="auto"/>
                <w:sz w:val="18"/>
                <w:szCs w:val="18"/>
                <w:lang w:eastAsia="zh-CN" w:bidi="ar"/>
              </w:rPr>
              <w:t>g/</w:t>
            </w:r>
            <w:r>
              <w:rPr>
                <w:rStyle w:val="font31"/>
                <w:rFonts w:eastAsia="宋体" w:hint="eastAsia"/>
                <w:color w:val="auto"/>
                <w:sz w:val="18"/>
                <w:szCs w:val="18"/>
                <w:lang w:eastAsia="zh-CN" w:bidi="ar"/>
              </w:rPr>
              <w:t>g</w:t>
            </w:r>
            <w:r>
              <w:rPr>
                <w:rStyle w:val="font11"/>
                <w:rFonts w:eastAsia="宋体"/>
                <w:color w:val="auto"/>
                <w:sz w:val="18"/>
                <w:szCs w:val="18"/>
                <w:lang w:eastAsia="zh-CN" w:bidi="ar"/>
              </w:rPr>
              <w:t>)</w:t>
            </w:r>
          </w:p>
        </w:tc>
        <w:tc>
          <w:tcPr>
            <w:tcW w:w="1180" w:type="dxa"/>
            <w:tcBorders>
              <w:top w:val="single" w:sz="4" w:space="0" w:color="000000"/>
              <w:left w:val="single" w:sz="4" w:space="0" w:color="000000"/>
              <w:bottom w:val="single" w:sz="4" w:space="0" w:color="000000"/>
              <w:right w:val="single" w:sz="4" w:space="0" w:color="000000"/>
            </w:tcBorders>
            <w:vAlign w:val="center"/>
          </w:tcPr>
          <w:p w14:paraId="77F8E1A1"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加标回收率（</w:t>
            </w:r>
            <w:r>
              <w:rPr>
                <w:rStyle w:val="font11"/>
                <w:rFonts w:eastAsia="宋体"/>
                <w:color w:val="auto"/>
                <w:sz w:val="18"/>
                <w:szCs w:val="18"/>
                <w:lang w:eastAsia="zh-CN" w:bidi="ar"/>
              </w:rPr>
              <w:t>%</w:t>
            </w:r>
            <w:r>
              <w:rPr>
                <w:rStyle w:val="font01"/>
                <w:rFonts w:hint="default"/>
                <w:color w:val="auto"/>
                <w:sz w:val="18"/>
                <w:szCs w:val="18"/>
                <w:lang w:eastAsia="zh-CN" w:bidi="ar"/>
              </w:rPr>
              <w:t>）</w:t>
            </w:r>
          </w:p>
        </w:tc>
        <w:tc>
          <w:tcPr>
            <w:tcW w:w="810" w:type="dxa"/>
            <w:tcBorders>
              <w:top w:val="single" w:sz="4" w:space="0" w:color="000000"/>
              <w:left w:val="single" w:sz="4" w:space="0" w:color="000000"/>
              <w:bottom w:val="single" w:sz="4" w:space="0" w:color="000000"/>
              <w:right w:val="single" w:sz="4" w:space="0" w:color="000000"/>
            </w:tcBorders>
            <w:vAlign w:val="center"/>
          </w:tcPr>
          <w:p w14:paraId="21F4E4F6"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平均值（</w:t>
            </w:r>
            <w:r>
              <w:rPr>
                <w:rStyle w:val="font11"/>
                <w:rFonts w:eastAsia="宋体"/>
                <w:color w:val="auto"/>
                <w:sz w:val="18"/>
                <w:szCs w:val="18"/>
                <w:lang w:eastAsia="zh-CN" w:bidi="ar"/>
              </w:rPr>
              <w:t>%</w:t>
            </w:r>
            <w:r>
              <w:rPr>
                <w:rStyle w:val="font01"/>
                <w:rFonts w:hint="default"/>
                <w:color w:val="auto"/>
                <w:sz w:val="18"/>
                <w:szCs w:val="18"/>
                <w:lang w:eastAsia="zh-CN" w:bidi="ar"/>
              </w:rPr>
              <w:t>）</w:t>
            </w:r>
          </w:p>
        </w:tc>
        <w:tc>
          <w:tcPr>
            <w:tcW w:w="843" w:type="dxa"/>
            <w:tcBorders>
              <w:top w:val="single" w:sz="4" w:space="0" w:color="000000"/>
              <w:left w:val="single" w:sz="4" w:space="0" w:color="000000"/>
              <w:bottom w:val="single" w:sz="4" w:space="0" w:color="000000"/>
              <w:right w:val="single" w:sz="4" w:space="0" w:color="000000"/>
            </w:tcBorders>
            <w:vAlign w:val="center"/>
          </w:tcPr>
          <w:p w14:paraId="4B00746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RSD </w:t>
            </w:r>
            <w:r>
              <w:rPr>
                <w:rFonts w:ascii="Times New Roman" w:eastAsia="宋体" w:hAnsi="Times New Roman" w:cs="Times New Roman" w:hint="eastAsia"/>
                <w:color w:val="auto"/>
                <w:sz w:val="18"/>
                <w:szCs w:val="18"/>
                <w:lang w:eastAsia="zh-CN" w:bidi="ar"/>
              </w:rPr>
              <w:t xml:space="preserve">  </w:t>
            </w:r>
            <w:r>
              <w:rPr>
                <w:rStyle w:val="font01"/>
                <w:rFonts w:hint="default"/>
                <w:color w:val="auto"/>
                <w:sz w:val="18"/>
                <w:szCs w:val="18"/>
                <w:lang w:eastAsia="zh-CN" w:bidi="ar"/>
              </w:rPr>
              <w:t>（</w:t>
            </w:r>
            <w:r>
              <w:rPr>
                <w:rStyle w:val="font11"/>
                <w:rFonts w:eastAsia="宋体"/>
                <w:color w:val="auto"/>
                <w:sz w:val="18"/>
                <w:szCs w:val="18"/>
                <w:lang w:eastAsia="zh-CN" w:bidi="ar"/>
              </w:rPr>
              <w:t>%</w:t>
            </w:r>
            <w:r>
              <w:rPr>
                <w:rStyle w:val="font01"/>
                <w:rFonts w:hint="default"/>
                <w:color w:val="auto"/>
                <w:sz w:val="18"/>
                <w:szCs w:val="18"/>
                <w:lang w:eastAsia="zh-CN" w:bidi="ar"/>
              </w:rPr>
              <w:t>）</w:t>
            </w:r>
          </w:p>
        </w:tc>
      </w:tr>
      <w:tr w:rsidR="00F705BE" w14:paraId="39596920"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11F53BB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0.5‰</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08011E13" w14:textId="77777777" w:rsidR="00F705BE" w:rsidRDefault="00000000">
            <w:pPr>
              <w:jc w:val="center"/>
              <w:textAlignment w:val="center"/>
              <w:rPr>
                <w:rFonts w:ascii="Times New Roman" w:eastAsia="宋体" w:hAnsi="Times New Roman" w:cs="Times New Roman"/>
                <w:color w:val="auto"/>
                <w:sz w:val="18"/>
                <w:szCs w:val="18"/>
                <w:lang w:eastAsia="zh-CN"/>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2DEB67AA"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0.5241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3AF4B768"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99.83 </w:t>
            </w:r>
          </w:p>
        </w:tc>
        <w:tc>
          <w:tcPr>
            <w:tcW w:w="810" w:type="dxa"/>
            <w:vMerge w:val="restart"/>
            <w:tcBorders>
              <w:top w:val="single" w:sz="4" w:space="0" w:color="000000"/>
              <w:left w:val="single" w:sz="4" w:space="0" w:color="000000"/>
              <w:bottom w:val="single" w:sz="4" w:space="0" w:color="000000"/>
              <w:right w:val="single" w:sz="4" w:space="0" w:color="000000"/>
            </w:tcBorders>
            <w:noWrap/>
            <w:vAlign w:val="center"/>
          </w:tcPr>
          <w:p w14:paraId="592CD1A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99.85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2774728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0.28 </w:t>
            </w:r>
          </w:p>
        </w:tc>
      </w:tr>
      <w:tr w:rsidR="00F705BE" w14:paraId="35D3A234"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3622B52F"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6C8DADA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24AE65D"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0.5257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5E742E69"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100.13 </w:t>
            </w:r>
          </w:p>
        </w:tc>
        <w:tc>
          <w:tcPr>
            <w:tcW w:w="810" w:type="dxa"/>
            <w:vMerge/>
            <w:tcBorders>
              <w:top w:val="single" w:sz="4" w:space="0" w:color="000000"/>
              <w:left w:val="single" w:sz="4" w:space="0" w:color="000000"/>
              <w:bottom w:val="single" w:sz="4" w:space="0" w:color="000000"/>
              <w:right w:val="single" w:sz="4" w:space="0" w:color="000000"/>
            </w:tcBorders>
            <w:noWrap/>
            <w:vAlign w:val="center"/>
          </w:tcPr>
          <w:p w14:paraId="2A256DED"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78F6F9A2" w14:textId="77777777" w:rsidR="00F705BE" w:rsidRDefault="00F705BE">
            <w:pPr>
              <w:jc w:val="center"/>
              <w:rPr>
                <w:rFonts w:ascii="Times New Roman" w:eastAsia="宋体" w:hAnsi="Times New Roman" w:cs="Times New Roman"/>
                <w:color w:val="auto"/>
                <w:sz w:val="18"/>
                <w:szCs w:val="18"/>
              </w:rPr>
            </w:pPr>
          </w:p>
        </w:tc>
      </w:tr>
      <w:tr w:rsidR="00F705BE" w14:paraId="2E606265"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13028387"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627C955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607995B3"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0.5228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3370DA3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99.58 </w:t>
            </w:r>
          </w:p>
        </w:tc>
        <w:tc>
          <w:tcPr>
            <w:tcW w:w="810" w:type="dxa"/>
            <w:vMerge/>
            <w:tcBorders>
              <w:top w:val="single" w:sz="4" w:space="0" w:color="000000"/>
              <w:left w:val="single" w:sz="4" w:space="0" w:color="000000"/>
              <w:bottom w:val="single" w:sz="4" w:space="0" w:color="000000"/>
              <w:right w:val="single" w:sz="4" w:space="0" w:color="000000"/>
            </w:tcBorders>
            <w:noWrap/>
            <w:vAlign w:val="center"/>
          </w:tcPr>
          <w:p w14:paraId="0B70D9FC"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03675624" w14:textId="77777777" w:rsidR="00F705BE" w:rsidRDefault="00F705BE">
            <w:pPr>
              <w:jc w:val="center"/>
              <w:rPr>
                <w:rFonts w:ascii="Times New Roman" w:eastAsia="宋体" w:hAnsi="Times New Roman" w:cs="Times New Roman"/>
                <w:color w:val="auto"/>
                <w:sz w:val="18"/>
                <w:szCs w:val="18"/>
              </w:rPr>
            </w:pPr>
          </w:p>
        </w:tc>
      </w:tr>
      <w:tr w:rsidR="00F705BE" w14:paraId="3B39D2E8"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42AB82D3"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1‰</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48C6B317"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09D15C6A"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1.0802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3FD306E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102.88 </w:t>
            </w:r>
          </w:p>
        </w:tc>
        <w:tc>
          <w:tcPr>
            <w:tcW w:w="810" w:type="dxa"/>
            <w:vMerge w:val="restart"/>
            <w:tcBorders>
              <w:top w:val="single" w:sz="4" w:space="0" w:color="000000"/>
              <w:left w:val="single" w:sz="4" w:space="0" w:color="000000"/>
              <w:bottom w:val="single" w:sz="4" w:space="0" w:color="000000"/>
              <w:right w:val="single" w:sz="4" w:space="0" w:color="000000"/>
            </w:tcBorders>
            <w:noWrap/>
            <w:vAlign w:val="center"/>
          </w:tcPr>
          <w:p w14:paraId="1DBDA9B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101.14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10237485"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1.55 </w:t>
            </w:r>
          </w:p>
        </w:tc>
      </w:tr>
      <w:tr w:rsidR="00F705BE" w14:paraId="1E7B1563"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345CD7C9"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68CF1B2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6C50840C"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1.0576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67E6B00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100.72 </w:t>
            </w:r>
          </w:p>
        </w:tc>
        <w:tc>
          <w:tcPr>
            <w:tcW w:w="810" w:type="dxa"/>
            <w:vMerge/>
            <w:tcBorders>
              <w:top w:val="single" w:sz="4" w:space="0" w:color="000000"/>
              <w:left w:val="single" w:sz="4" w:space="0" w:color="000000"/>
              <w:bottom w:val="single" w:sz="4" w:space="0" w:color="000000"/>
              <w:right w:val="single" w:sz="4" w:space="0" w:color="000000"/>
            </w:tcBorders>
            <w:noWrap/>
            <w:vAlign w:val="center"/>
          </w:tcPr>
          <w:p w14:paraId="17FAE2B8"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0ED863D8" w14:textId="77777777" w:rsidR="00F705BE" w:rsidRDefault="00F705BE">
            <w:pPr>
              <w:jc w:val="center"/>
              <w:rPr>
                <w:rFonts w:ascii="Times New Roman" w:eastAsia="宋体" w:hAnsi="Times New Roman" w:cs="Times New Roman"/>
                <w:color w:val="auto"/>
                <w:sz w:val="18"/>
                <w:szCs w:val="18"/>
              </w:rPr>
            </w:pPr>
          </w:p>
        </w:tc>
      </w:tr>
      <w:tr w:rsidR="00F705BE" w14:paraId="7E068C4B"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72F0281D"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023FE6BC"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68837A0F"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1.0481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16EE8166"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99.82 </w:t>
            </w:r>
          </w:p>
        </w:tc>
        <w:tc>
          <w:tcPr>
            <w:tcW w:w="810" w:type="dxa"/>
            <w:vMerge/>
            <w:tcBorders>
              <w:top w:val="single" w:sz="4" w:space="0" w:color="000000"/>
              <w:left w:val="single" w:sz="4" w:space="0" w:color="000000"/>
              <w:bottom w:val="single" w:sz="4" w:space="0" w:color="000000"/>
              <w:right w:val="single" w:sz="4" w:space="0" w:color="000000"/>
            </w:tcBorders>
            <w:noWrap/>
            <w:vAlign w:val="center"/>
          </w:tcPr>
          <w:p w14:paraId="56E6D868"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7108EA04" w14:textId="77777777" w:rsidR="00F705BE" w:rsidRDefault="00F705BE">
            <w:pPr>
              <w:jc w:val="center"/>
              <w:rPr>
                <w:rFonts w:ascii="Times New Roman" w:eastAsia="宋体" w:hAnsi="Times New Roman" w:cs="Times New Roman"/>
                <w:color w:val="auto"/>
                <w:sz w:val="18"/>
                <w:szCs w:val="18"/>
              </w:rPr>
            </w:pPr>
          </w:p>
        </w:tc>
      </w:tr>
      <w:tr w:rsidR="00F705BE" w14:paraId="1986143E"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5C41085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2‰</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45EAC003" w14:textId="77777777" w:rsidR="00F705BE" w:rsidRDefault="00000000">
            <w:pPr>
              <w:jc w:val="center"/>
              <w:textAlignment w:val="center"/>
              <w:rPr>
                <w:rFonts w:ascii="Times New Roman" w:eastAsia="宋体" w:hAnsi="Times New Roman" w:cs="Times New Roman"/>
                <w:color w:val="auto"/>
                <w:sz w:val="18"/>
                <w:szCs w:val="18"/>
                <w:lang w:eastAsia="zh-CN"/>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59D4FFF7"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2.0307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5B6C8E8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96.70 </w:t>
            </w:r>
          </w:p>
        </w:tc>
        <w:tc>
          <w:tcPr>
            <w:tcW w:w="810" w:type="dxa"/>
            <w:vMerge w:val="restart"/>
            <w:tcBorders>
              <w:top w:val="single" w:sz="4" w:space="0" w:color="000000"/>
              <w:left w:val="single" w:sz="4" w:space="0" w:color="000000"/>
              <w:bottom w:val="single" w:sz="4" w:space="0" w:color="000000"/>
              <w:right w:val="single" w:sz="4" w:space="0" w:color="000000"/>
            </w:tcBorders>
            <w:noWrap/>
            <w:vAlign w:val="center"/>
          </w:tcPr>
          <w:p w14:paraId="6EA3DAA7"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98.28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1F08392C"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1.53 </w:t>
            </w:r>
          </w:p>
        </w:tc>
      </w:tr>
      <w:tr w:rsidR="00F705BE" w14:paraId="553CF4C9"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47C35E66"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2D093AA9"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561C236F"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2.0936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1088427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99.69 </w:t>
            </w:r>
          </w:p>
        </w:tc>
        <w:tc>
          <w:tcPr>
            <w:tcW w:w="810" w:type="dxa"/>
            <w:vMerge/>
            <w:tcBorders>
              <w:top w:val="single" w:sz="4" w:space="0" w:color="000000"/>
              <w:left w:val="single" w:sz="4" w:space="0" w:color="000000"/>
              <w:bottom w:val="single" w:sz="4" w:space="0" w:color="000000"/>
              <w:right w:val="single" w:sz="4" w:space="0" w:color="000000"/>
            </w:tcBorders>
            <w:noWrap/>
            <w:vAlign w:val="center"/>
          </w:tcPr>
          <w:p w14:paraId="566A098C"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3CFD1C8C" w14:textId="77777777" w:rsidR="00F705BE" w:rsidRDefault="00F705BE">
            <w:pPr>
              <w:jc w:val="center"/>
              <w:rPr>
                <w:rFonts w:ascii="Times New Roman" w:eastAsia="宋体" w:hAnsi="Times New Roman" w:cs="Times New Roman"/>
                <w:color w:val="auto"/>
                <w:sz w:val="18"/>
                <w:szCs w:val="18"/>
              </w:rPr>
            </w:pPr>
          </w:p>
        </w:tc>
      </w:tr>
      <w:tr w:rsidR="00F705BE" w14:paraId="10EC1252"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1E879944"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530F7BC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40D46DC"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2.0672 </w:t>
            </w:r>
          </w:p>
        </w:tc>
        <w:tc>
          <w:tcPr>
            <w:tcW w:w="1180" w:type="dxa"/>
            <w:tcBorders>
              <w:top w:val="single" w:sz="4" w:space="0" w:color="000000"/>
              <w:left w:val="single" w:sz="4" w:space="0" w:color="000000"/>
              <w:bottom w:val="single" w:sz="4" w:space="0" w:color="000000"/>
              <w:right w:val="single" w:sz="4" w:space="0" w:color="000000"/>
            </w:tcBorders>
            <w:noWrap/>
            <w:vAlign w:val="center"/>
          </w:tcPr>
          <w:p w14:paraId="5C64222A"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98.44 </w:t>
            </w:r>
          </w:p>
        </w:tc>
        <w:tc>
          <w:tcPr>
            <w:tcW w:w="810" w:type="dxa"/>
            <w:vMerge/>
            <w:tcBorders>
              <w:top w:val="single" w:sz="4" w:space="0" w:color="000000"/>
              <w:left w:val="single" w:sz="4" w:space="0" w:color="000000"/>
              <w:bottom w:val="single" w:sz="4" w:space="0" w:color="000000"/>
              <w:right w:val="single" w:sz="4" w:space="0" w:color="000000"/>
            </w:tcBorders>
            <w:noWrap/>
            <w:vAlign w:val="center"/>
          </w:tcPr>
          <w:p w14:paraId="087F8099"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1E75312B" w14:textId="77777777" w:rsidR="00F705BE" w:rsidRDefault="00F705BE">
            <w:pPr>
              <w:jc w:val="center"/>
              <w:rPr>
                <w:rFonts w:ascii="Times New Roman" w:eastAsia="宋体" w:hAnsi="Times New Roman" w:cs="Times New Roman"/>
                <w:color w:val="auto"/>
                <w:sz w:val="18"/>
                <w:szCs w:val="18"/>
              </w:rPr>
            </w:pPr>
          </w:p>
        </w:tc>
      </w:tr>
    </w:tbl>
    <w:p w14:paraId="4B878325" w14:textId="77777777" w:rsidR="00F705BE" w:rsidRDefault="00F705BE">
      <w:pPr>
        <w:spacing w:line="345" w:lineRule="auto"/>
        <w:jc w:val="center"/>
        <w:rPr>
          <w:lang w:eastAsia="zh-CN"/>
        </w:rPr>
      </w:pPr>
    </w:p>
    <w:p w14:paraId="28BEF47D" w14:textId="77777777" w:rsidR="00F705BE" w:rsidRDefault="00000000">
      <w:pPr>
        <w:spacing w:line="345" w:lineRule="auto"/>
        <w:jc w:val="center"/>
        <w:rPr>
          <w:lang w:eastAsia="zh-CN"/>
        </w:rPr>
      </w:pPr>
      <w:r>
        <w:rPr>
          <w:rFonts w:ascii="Times New Roman" w:eastAsia="宋体" w:hAnsi="Times New Roman" w:cs="Times New Roman"/>
          <w:lang w:eastAsia="zh-CN"/>
        </w:rPr>
        <w:t>表</w:t>
      </w:r>
      <w:r>
        <w:rPr>
          <w:rFonts w:ascii="Times New Roman" w:eastAsia="宋体" w:hAnsi="Times New Roman" w:cs="Times New Roman" w:hint="eastAsia"/>
          <w:lang w:eastAsia="zh-CN"/>
        </w:rPr>
        <w:t xml:space="preserve">3 </w:t>
      </w:r>
      <w:r>
        <w:rPr>
          <w:rFonts w:ascii="Times New Roman" w:eastAsia="宋体" w:hAnsi="Times New Roman" w:cs="Times New Roman" w:hint="eastAsia"/>
          <w:lang w:eastAsia="zh-CN"/>
        </w:rPr>
        <w:t>固体样品基质中</w:t>
      </w:r>
      <w:r>
        <w:rPr>
          <w:rFonts w:hint="eastAsia"/>
          <w:lang w:eastAsia="zh-CN"/>
        </w:rPr>
        <w:t>二牛脂基二甲基氯化铵加标测定准确度结果</w:t>
      </w:r>
    </w:p>
    <w:tbl>
      <w:tblPr>
        <w:tblW w:w="6400" w:type="dxa"/>
        <w:jc w:val="center"/>
        <w:tblLayout w:type="fixed"/>
        <w:tblLook w:val="04A0" w:firstRow="1" w:lastRow="0" w:firstColumn="1" w:lastColumn="0" w:noHBand="0" w:noVBand="1"/>
      </w:tblPr>
      <w:tblGrid>
        <w:gridCol w:w="990"/>
        <w:gridCol w:w="1207"/>
        <w:gridCol w:w="1370"/>
        <w:gridCol w:w="1200"/>
        <w:gridCol w:w="790"/>
        <w:gridCol w:w="843"/>
      </w:tblGrid>
      <w:tr w:rsidR="00F705BE" w14:paraId="4F1C970D" w14:textId="77777777">
        <w:trPr>
          <w:trHeight w:val="113"/>
          <w:jc w:val="center"/>
        </w:trPr>
        <w:tc>
          <w:tcPr>
            <w:tcW w:w="990" w:type="dxa"/>
            <w:tcBorders>
              <w:top w:val="single" w:sz="4" w:space="0" w:color="000000"/>
              <w:left w:val="single" w:sz="4" w:space="0" w:color="000000"/>
              <w:bottom w:val="single" w:sz="4" w:space="0" w:color="000000"/>
              <w:right w:val="single" w:sz="4" w:space="0" w:color="000000"/>
            </w:tcBorders>
            <w:vAlign w:val="center"/>
          </w:tcPr>
          <w:p w14:paraId="40B63547"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添加</w:t>
            </w:r>
            <w:r>
              <w:rPr>
                <w:rStyle w:val="font01"/>
                <w:color w:val="auto"/>
                <w:sz w:val="18"/>
                <w:szCs w:val="18"/>
                <w:lang w:eastAsia="zh-CN" w:bidi="ar"/>
              </w:rPr>
              <w:t>水平</w:t>
            </w:r>
          </w:p>
        </w:tc>
        <w:tc>
          <w:tcPr>
            <w:tcW w:w="1207" w:type="dxa"/>
            <w:tcBorders>
              <w:top w:val="single" w:sz="4" w:space="0" w:color="000000"/>
              <w:left w:val="single" w:sz="4" w:space="0" w:color="000000"/>
              <w:bottom w:val="single" w:sz="4" w:space="0" w:color="000000"/>
              <w:right w:val="single" w:sz="4" w:space="0" w:color="000000"/>
            </w:tcBorders>
            <w:vAlign w:val="center"/>
          </w:tcPr>
          <w:p w14:paraId="2926C4C7"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加入量(</w:t>
            </w:r>
            <w:r>
              <w:rPr>
                <w:rStyle w:val="font31"/>
                <w:rFonts w:eastAsia="宋体" w:hint="eastAsia"/>
                <w:color w:val="auto"/>
                <w:sz w:val="18"/>
                <w:szCs w:val="18"/>
                <w:lang w:eastAsia="zh-CN" w:bidi="ar"/>
              </w:rPr>
              <w:t>m</w:t>
            </w:r>
            <w:r>
              <w:rPr>
                <w:rStyle w:val="font31"/>
                <w:rFonts w:eastAsia="宋体"/>
                <w:color w:val="auto"/>
                <w:sz w:val="18"/>
                <w:szCs w:val="18"/>
                <w:lang w:eastAsia="zh-CN" w:bidi="ar"/>
              </w:rPr>
              <w:t>g</w:t>
            </w:r>
            <w:r>
              <w:rPr>
                <w:rStyle w:val="font31"/>
                <w:rFonts w:eastAsia="宋体" w:hint="eastAsia"/>
                <w:color w:val="auto"/>
                <w:sz w:val="18"/>
                <w:szCs w:val="18"/>
                <w:lang w:eastAsia="zh-CN" w:bidi="ar"/>
              </w:rPr>
              <w:t>/g</w:t>
            </w:r>
            <w:r>
              <w:rPr>
                <w:rStyle w:val="font01"/>
                <w:color w:val="auto"/>
                <w:sz w:val="18"/>
                <w:szCs w:val="18"/>
                <w:lang w:eastAsia="zh-CN" w:bidi="ar"/>
              </w:rPr>
              <w:t>)</w:t>
            </w:r>
          </w:p>
        </w:tc>
        <w:tc>
          <w:tcPr>
            <w:tcW w:w="1370" w:type="dxa"/>
            <w:tcBorders>
              <w:top w:val="single" w:sz="4" w:space="0" w:color="000000"/>
              <w:left w:val="single" w:sz="4" w:space="0" w:color="000000"/>
              <w:bottom w:val="single" w:sz="4" w:space="0" w:color="000000"/>
              <w:right w:val="single" w:sz="4" w:space="0" w:color="000000"/>
            </w:tcBorders>
            <w:vAlign w:val="center"/>
          </w:tcPr>
          <w:p w14:paraId="4F57D3EB"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检测结果</w:t>
            </w:r>
            <w:r>
              <w:rPr>
                <w:rStyle w:val="font11"/>
                <w:rFonts w:eastAsia="宋体"/>
                <w:color w:val="auto"/>
                <w:sz w:val="18"/>
                <w:szCs w:val="18"/>
                <w:lang w:eastAsia="zh-CN" w:bidi="ar"/>
              </w:rPr>
              <w:t xml:space="preserve">         (</w:t>
            </w:r>
            <w:r>
              <w:rPr>
                <w:rStyle w:val="font31"/>
                <w:rFonts w:eastAsia="宋体" w:hint="eastAsia"/>
                <w:color w:val="auto"/>
                <w:sz w:val="18"/>
                <w:szCs w:val="18"/>
                <w:lang w:eastAsia="zh-CN" w:bidi="ar"/>
              </w:rPr>
              <w:t>m</w:t>
            </w:r>
            <w:r>
              <w:rPr>
                <w:rStyle w:val="font31"/>
                <w:rFonts w:eastAsia="宋体"/>
                <w:color w:val="auto"/>
                <w:sz w:val="18"/>
                <w:szCs w:val="18"/>
                <w:lang w:eastAsia="zh-CN" w:bidi="ar"/>
              </w:rPr>
              <w:t>g/</w:t>
            </w:r>
            <w:r>
              <w:rPr>
                <w:rStyle w:val="font31"/>
                <w:rFonts w:eastAsia="宋体" w:hint="eastAsia"/>
                <w:color w:val="auto"/>
                <w:sz w:val="18"/>
                <w:szCs w:val="18"/>
                <w:lang w:eastAsia="zh-CN" w:bidi="ar"/>
              </w:rPr>
              <w:t>g</w:t>
            </w:r>
            <w:r>
              <w:rPr>
                <w:rStyle w:val="font11"/>
                <w:rFonts w:eastAsia="宋体"/>
                <w:color w:val="auto"/>
                <w:sz w:val="18"/>
                <w:szCs w:val="18"/>
                <w:lang w:eastAsia="zh-CN" w:bidi="ar"/>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7769BF1A"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加标回收率（</w:t>
            </w:r>
            <w:r>
              <w:rPr>
                <w:rStyle w:val="font11"/>
                <w:rFonts w:eastAsia="宋体"/>
                <w:color w:val="auto"/>
                <w:sz w:val="18"/>
                <w:szCs w:val="18"/>
                <w:lang w:eastAsia="zh-CN" w:bidi="ar"/>
              </w:rPr>
              <w:t>%</w:t>
            </w:r>
            <w:r>
              <w:rPr>
                <w:rStyle w:val="font01"/>
                <w:rFonts w:hint="default"/>
                <w:color w:val="auto"/>
                <w:sz w:val="18"/>
                <w:szCs w:val="18"/>
                <w:lang w:eastAsia="zh-CN" w:bidi="ar"/>
              </w:rPr>
              <w:t>）</w:t>
            </w:r>
          </w:p>
        </w:tc>
        <w:tc>
          <w:tcPr>
            <w:tcW w:w="790" w:type="dxa"/>
            <w:tcBorders>
              <w:top w:val="single" w:sz="4" w:space="0" w:color="000000"/>
              <w:left w:val="single" w:sz="4" w:space="0" w:color="000000"/>
              <w:bottom w:val="single" w:sz="4" w:space="0" w:color="000000"/>
              <w:right w:val="single" w:sz="4" w:space="0" w:color="000000"/>
            </w:tcBorders>
            <w:vAlign w:val="center"/>
          </w:tcPr>
          <w:p w14:paraId="2ED53564"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平均值（</w:t>
            </w:r>
            <w:r>
              <w:rPr>
                <w:rStyle w:val="font11"/>
                <w:rFonts w:eastAsia="宋体"/>
                <w:color w:val="auto"/>
                <w:sz w:val="18"/>
                <w:szCs w:val="18"/>
                <w:lang w:eastAsia="zh-CN" w:bidi="ar"/>
              </w:rPr>
              <w:t>%</w:t>
            </w:r>
            <w:r>
              <w:rPr>
                <w:rStyle w:val="font01"/>
                <w:rFonts w:hint="default"/>
                <w:color w:val="auto"/>
                <w:sz w:val="18"/>
                <w:szCs w:val="18"/>
                <w:lang w:eastAsia="zh-CN" w:bidi="ar"/>
              </w:rPr>
              <w:t>）</w:t>
            </w:r>
          </w:p>
        </w:tc>
        <w:tc>
          <w:tcPr>
            <w:tcW w:w="843" w:type="dxa"/>
            <w:tcBorders>
              <w:top w:val="single" w:sz="4" w:space="0" w:color="000000"/>
              <w:left w:val="single" w:sz="4" w:space="0" w:color="000000"/>
              <w:bottom w:val="single" w:sz="4" w:space="0" w:color="000000"/>
              <w:right w:val="single" w:sz="4" w:space="0" w:color="000000"/>
            </w:tcBorders>
            <w:vAlign w:val="center"/>
          </w:tcPr>
          <w:p w14:paraId="446E1B5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RSD </w:t>
            </w:r>
            <w:r>
              <w:rPr>
                <w:rFonts w:ascii="Times New Roman" w:eastAsia="宋体" w:hAnsi="Times New Roman" w:cs="Times New Roman" w:hint="eastAsia"/>
                <w:color w:val="auto"/>
                <w:sz w:val="18"/>
                <w:szCs w:val="18"/>
                <w:lang w:eastAsia="zh-CN" w:bidi="ar"/>
              </w:rPr>
              <w:t xml:space="preserve">  </w:t>
            </w:r>
            <w:r>
              <w:rPr>
                <w:rStyle w:val="font01"/>
                <w:rFonts w:hint="default"/>
                <w:color w:val="auto"/>
                <w:sz w:val="18"/>
                <w:szCs w:val="18"/>
                <w:lang w:eastAsia="zh-CN" w:bidi="ar"/>
              </w:rPr>
              <w:t>（</w:t>
            </w:r>
            <w:r>
              <w:rPr>
                <w:rStyle w:val="font11"/>
                <w:rFonts w:eastAsia="宋体"/>
                <w:color w:val="auto"/>
                <w:sz w:val="18"/>
                <w:szCs w:val="18"/>
                <w:lang w:eastAsia="zh-CN" w:bidi="ar"/>
              </w:rPr>
              <w:t>%</w:t>
            </w:r>
            <w:r>
              <w:rPr>
                <w:rStyle w:val="font01"/>
                <w:rFonts w:hint="default"/>
                <w:color w:val="auto"/>
                <w:sz w:val="18"/>
                <w:szCs w:val="18"/>
                <w:lang w:eastAsia="zh-CN" w:bidi="ar"/>
              </w:rPr>
              <w:t>）</w:t>
            </w:r>
          </w:p>
        </w:tc>
      </w:tr>
      <w:tr w:rsidR="00F705BE" w14:paraId="7218E325"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16DBA68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0.5‰</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038FD2C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3F96A278"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0.5184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10E39E9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98.75 </w:t>
            </w:r>
          </w:p>
        </w:tc>
        <w:tc>
          <w:tcPr>
            <w:tcW w:w="790" w:type="dxa"/>
            <w:vMerge w:val="restart"/>
            <w:tcBorders>
              <w:top w:val="single" w:sz="4" w:space="0" w:color="000000"/>
              <w:left w:val="single" w:sz="4" w:space="0" w:color="000000"/>
              <w:bottom w:val="single" w:sz="4" w:space="0" w:color="000000"/>
              <w:right w:val="single" w:sz="4" w:space="0" w:color="000000"/>
            </w:tcBorders>
            <w:noWrap/>
            <w:vAlign w:val="center"/>
          </w:tcPr>
          <w:p w14:paraId="07474419"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99.19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540C2CA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2.03 </w:t>
            </w:r>
          </w:p>
        </w:tc>
      </w:tr>
      <w:tr w:rsidR="00F705BE" w14:paraId="0FB88834"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3FCEE74C"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7F8C14F7"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3C0D3713"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0.5115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6206AAB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97.44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34D128DF"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5719B16D" w14:textId="77777777" w:rsidR="00F705BE" w:rsidRDefault="00F705BE">
            <w:pPr>
              <w:jc w:val="center"/>
              <w:rPr>
                <w:rFonts w:ascii="Times New Roman" w:eastAsia="宋体" w:hAnsi="Times New Roman" w:cs="Times New Roman"/>
                <w:color w:val="auto"/>
                <w:sz w:val="18"/>
                <w:szCs w:val="18"/>
              </w:rPr>
            </w:pPr>
          </w:p>
        </w:tc>
      </w:tr>
      <w:tr w:rsidR="00F705BE" w14:paraId="4315FF85"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354DF20E"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0A4BE1A6"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C1C59A0"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0.5323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06A70B12"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101.38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51607101"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7BDC076E" w14:textId="77777777" w:rsidR="00F705BE" w:rsidRDefault="00F705BE">
            <w:pPr>
              <w:jc w:val="center"/>
              <w:rPr>
                <w:rFonts w:ascii="Times New Roman" w:eastAsia="宋体" w:hAnsi="Times New Roman" w:cs="Times New Roman"/>
                <w:color w:val="auto"/>
                <w:sz w:val="18"/>
                <w:szCs w:val="18"/>
              </w:rPr>
            </w:pPr>
          </w:p>
        </w:tc>
      </w:tr>
      <w:tr w:rsidR="00F705BE" w14:paraId="0C16E40E"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3DF87532"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1‰</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7FB4DDDF"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58B0A4A1"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1.0427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0BA88EA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99.31 </w:t>
            </w:r>
          </w:p>
        </w:tc>
        <w:tc>
          <w:tcPr>
            <w:tcW w:w="790" w:type="dxa"/>
            <w:vMerge w:val="restart"/>
            <w:tcBorders>
              <w:top w:val="single" w:sz="4" w:space="0" w:color="000000"/>
              <w:left w:val="single" w:sz="4" w:space="0" w:color="000000"/>
              <w:bottom w:val="single" w:sz="4" w:space="0" w:color="000000"/>
              <w:right w:val="single" w:sz="4" w:space="0" w:color="000000"/>
            </w:tcBorders>
            <w:noWrap/>
            <w:vAlign w:val="center"/>
          </w:tcPr>
          <w:p w14:paraId="5C747DA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98.16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7C05F863"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1.38 </w:t>
            </w:r>
          </w:p>
        </w:tc>
      </w:tr>
      <w:tr w:rsidR="00F705BE" w14:paraId="4E8CCB50"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6537AAC0"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239E7466"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0E42F12"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1.0150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1CEE79F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96.67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03CABE73"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13F8E599" w14:textId="77777777" w:rsidR="00F705BE" w:rsidRDefault="00F705BE">
            <w:pPr>
              <w:jc w:val="center"/>
              <w:rPr>
                <w:rFonts w:ascii="Times New Roman" w:eastAsia="宋体" w:hAnsi="Times New Roman" w:cs="Times New Roman"/>
                <w:color w:val="auto"/>
                <w:sz w:val="18"/>
                <w:szCs w:val="18"/>
              </w:rPr>
            </w:pPr>
          </w:p>
        </w:tc>
      </w:tr>
      <w:tr w:rsidR="00F705BE" w14:paraId="4B4D3E8E"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0A60A6C4"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38EA537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091DBA6"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1.0341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46A41EBC"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98.49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213BEB50"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12BF2DD0" w14:textId="77777777" w:rsidR="00F705BE" w:rsidRDefault="00F705BE">
            <w:pPr>
              <w:jc w:val="center"/>
              <w:rPr>
                <w:rFonts w:ascii="Times New Roman" w:eastAsia="宋体" w:hAnsi="Times New Roman" w:cs="Times New Roman"/>
                <w:color w:val="auto"/>
                <w:sz w:val="18"/>
                <w:szCs w:val="18"/>
              </w:rPr>
            </w:pPr>
          </w:p>
        </w:tc>
      </w:tr>
      <w:tr w:rsidR="00F705BE" w14:paraId="0030F0BE"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6D65BE0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2‰</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7338EB36"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69A4656F"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2.0393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62D4460A"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97.11 </w:t>
            </w:r>
          </w:p>
        </w:tc>
        <w:tc>
          <w:tcPr>
            <w:tcW w:w="790" w:type="dxa"/>
            <w:vMerge w:val="restart"/>
            <w:tcBorders>
              <w:top w:val="single" w:sz="4" w:space="0" w:color="000000"/>
              <w:left w:val="single" w:sz="4" w:space="0" w:color="000000"/>
              <w:bottom w:val="single" w:sz="4" w:space="0" w:color="000000"/>
              <w:right w:val="single" w:sz="4" w:space="0" w:color="000000"/>
            </w:tcBorders>
            <w:noWrap/>
            <w:vAlign w:val="center"/>
          </w:tcPr>
          <w:p w14:paraId="048FCAFF"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97.44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1B6B588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0.81 </w:t>
            </w:r>
          </w:p>
        </w:tc>
      </w:tr>
      <w:tr w:rsidR="00F705BE" w14:paraId="75FDF426"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7090627E"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6E1F61D3"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44F8D303"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2.0650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18C40192"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98.33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327CEB99"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7D6710D7" w14:textId="77777777" w:rsidR="00F705BE" w:rsidRDefault="00F705BE">
            <w:pPr>
              <w:jc w:val="center"/>
              <w:rPr>
                <w:rFonts w:ascii="Times New Roman" w:eastAsia="宋体" w:hAnsi="Times New Roman" w:cs="Times New Roman"/>
                <w:color w:val="auto"/>
                <w:sz w:val="18"/>
                <w:szCs w:val="18"/>
              </w:rPr>
            </w:pPr>
          </w:p>
        </w:tc>
      </w:tr>
      <w:tr w:rsidR="00F705BE" w14:paraId="19EE4BCA"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2A8C5350"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6464E12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0D1D8A41"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2.0342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414D9C3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96.87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596F5B40"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200C7B98" w14:textId="77777777" w:rsidR="00F705BE" w:rsidRDefault="00F705BE">
            <w:pPr>
              <w:jc w:val="center"/>
              <w:rPr>
                <w:rFonts w:ascii="Times New Roman" w:eastAsia="宋体" w:hAnsi="Times New Roman" w:cs="Times New Roman"/>
                <w:color w:val="auto"/>
                <w:sz w:val="18"/>
                <w:szCs w:val="18"/>
              </w:rPr>
            </w:pPr>
          </w:p>
        </w:tc>
      </w:tr>
    </w:tbl>
    <w:p w14:paraId="65DE487E" w14:textId="77777777" w:rsidR="00F705BE" w:rsidRDefault="00F705BE">
      <w:pPr>
        <w:spacing w:line="345" w:lineRule="auto"/>
        <w:jc w:val="both"/>
        <w:rPr>
          <w:lang w:eastAsia="zh-CN"/>
        </w:rPr>
      </w:pPr>
    </w:p>
    <w:p w14:paraId="1B8FE7E3" w14:textId="77777777" w:rsidR="00F705BE" w:rsidRDefault="00000000">
      <w:pPr>
        <w:spacing w:line="345" w:lineRule="auto"/>
        <w:jc w:val="center"/>
        <w:rPr>
          <w:lang w:eastAsia="zh-CN"/>
        </w:rPr>
      </w:pPr>
      <w:r>
        <w:rPr>
          <w:rFonts w:ascii="Times New Roman" w:eastAsia="宋体" w:hAnsi="Times New Roman" w:cs="Times New Roman"/>
          <w:lang w:eastAsia="zh-CN"/>
        </w:rPr>
        <w:t>表</w:t>
      </w:r>
      <w:r>
        <w:rPr>
          <w:rFonts w:ascii="Times New Roman" w:eastAsia="宋体" w:hAnsi="Times New Roman" w:cs="Times New Roman" w:hint="eastAsia"/>
          <w:lang w:eastAsia="zh-CN"/>
        </w:rPr>
        <w:t xml:space="preserve">4 </w:t>
      </w:r>
      <w:r>
        <w:rPr>
          <w:rFonts w:ascii="Times New Roman" w:eastAsia="宋体" w:hAnsi="Times New Roman" w:cs="Times New Roman" w:hint="eastAsia"/>
          <w:lang w:eastAsia="zh-CN"/>
        </w:rPr>
        <w:t>洗衣凝珠样品基质中</w:t>
      </w:r>
      <w:r>
        <w:rPr>
          <w:rFonts w:hint="eastAsia"/>
          <w:lang w:eastAsia="zh-CN"/>
        </w:rPr>
        <w:t>二牛脂基二甲基氯化铵加标测定准确度结果</w:t>
      </w:r>
    </w:p>
    <w:tbl>
      <w:tblPr>
        <w:tblW w:w="6400" w:type="dxa"/>
        <w:jc w:val="center"/>
        <w:tblLayout w:type="fixed"/>
        <w:tblLook w:val="04A0" w:firstRow="1" w:lastRow="0" w:firstColumn="1" w:lastColumn="0" w:noHBand="0" w:noVBand="1"/>
      </w:tblPr>
      <w:tblGrid>
        <w:gridCol w:w="990"/>
        <w:gridCol w:w="1207"/>
        <w:gridCol w:w="1370"/>
        <w:gridCol w:w="1200"/>
        <w:gridCol w:w="790"/>
        <w:gridCol w:w="843"/>
      </w:tblGrid>
      <w:tr w:rsidR="00F705BE" w14:paraId="17CA2F4B" w14:textId="77777777">
        <w:trPr>
          <w:trHeight w:val="113"/>
          <w:jc w:val="center"/>
        </w:trPr>
        <w:tc>
          <w:tcPr>
            <w:tcW w:w="990" w:type="dxa"/>
            <w:tcBorders>
              <w:top w:val="single" w:sz="4" w:space="0" w:color="000000"/>
              <w:left w:val="single" w:sz="4" w:space="0" w:color="000000"/>
              <w:bottom w:val="single" w:sz="4" w:space="0" w:color="000000"/>
              <w:right w:val="single" w:sz="4" w:space="0" w:color="000000"/>
            </w:tcBorders>
            <w:vAlign w:val="center"/>
          </w:tcPr>
          <w:p w14:paraId="7ABFA855"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添加</w:t>
            </w:r>
            <w:r>
              <w:rPr>
                <w:rStyle w:val="font01"/>
                <w:color w:val="auto"/>
                <w:sz w:val="18"/>
                <w:szCs w:val="18"/>
                <w:lang w:eastAsia="zh-CN" w:bidi="ar"/>
              </w:rPr>
              <w:t>水平</w:t>
            </w:r>
          </w:p>
        </w:tc>
        <w:tc>
          <w:tcPr>
            <w:tcW w:w="1207" w:type="dxa"/>
            <w:tcBorders>
              <w:top w:val="single" w:sz="4" w:space="0" w:color="000000"/>
              <w:left w:val="single" w:sz="4" w:space="0" w:color="000000"/>
              <w:bottom w:val="single" w:sz="4" w:space="0" w:color="000000"/>
              <w:right w:val="single" w:sz="4" w:space="0" w:color="000000"/>
            </w:tcBorders>
            <w:vAlign w:val="center"/>
          </w:tcPr>
          <w:p w14:paraId="25A9BFEA"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加入量(</w:t>
            </w:r>
            <w:r>
              <w:rPr>
                <w:rStyle w:val="font31"/>
                <w:rFonts w:eastAsia="宋体" w:hint="eastAsia"/>
                <w:color w:val="auto"/>
                <w:sz w:val="18"/>
                <w:szCs w:val="18"/>
                <w:lang w:eastAsia="zh-CN" w:bidi="ar"/>
              </w:rPr>
              <w:t>m</w:t>
            </w:r>
            <w:r>
              <w:rPr>
                <w:rStyle w:val="font31"/>
                <w:rFonts w:eastAsia="宋体"/>
                <w:color w:val="auto"/>
                <w:sz w:val="18"/>
                <w:szCs w:val="18"/>
                <w:lang w:eastAsia="zh-CN" w:bidi="ar"/>
              </w:rPr>
              <w:t>g</w:t>
            </w:r>
            <w:r>
              <w:rPr>
                <w:rStyle w:val="font31"/>
                <w:rFonts w:eastAsia="宋体" w:hint="eastAsia"/>
                <w:color w:val="auto"/>
                <w:sz w:val="18"/>
                <w:szCs w:val="18"/>
                <w:lang w:eastAsia="zh-CN" w:bidi="ar"/>
              </w:rPr>
              <w:t>/g</w:t>
            </w:r>
            <w:r>
              <w:rPr>
                <w:rStyle w:val="font01"/>
                <w:color w:val="auto"/>
                <w:sz w:val="18"/>
                <w:szCs w:val="18"/>
                <w:lang w:eastAsia="zh-CN" w:bidi="ar"/>
              </w:rPr>
              <w:t>)</w:t>
            </w:r>
          </w:p>
        </w:tc>
        <w:tc>
          <w:tcPr>
            <w:tcW w:w="1370" w:type="dxa"/>
            <w:tcBorders>
              <w:top w:val="single" w:sz="4" w:space="0" w:color="000000"/>
              <w:left w:val="single" w:sz="4" w:space="0" w:color="000000"/>
              <w:bottom w:val="single" w:sz="4" w:space="0" w:color="000000"/>
              <w:right w:val="single" w:sz="4" w:space="0" w:color="000000"/>
            </w:tcBorders>
            <w:vAlign w:val="center"/>
          </w:tcPr>
          <w:p w14:paraId="7C34315F"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检测结果</w:t>
            </w:r>
            <w:r>
              <w:rPr>
                <w:rStyle w:val="font11"/>
                <w:rFonts w:eastAsia="宋体"/>
                <w:color w:val="auto"/>
                <w:sz w:val="18"/>
                <w:szCs w:val="18"/>
                <w:lang w:eastAsia="zh-CN" w:bidi="ar"/>
              </w:rPr>
              <w:t xml:space="preserve">         (</w:t>
            </w:r>
            <w:r>
              <w:rPr>
                <w:rStyle w:val="font31"/>
                <w:rFonts w:eastAsia="宋体" w:hint="eastAsia"/>
                <w:color w:val="auto"/>
                <w:sz w:val="18"/>
                <w:szCs w:val="18"/>
                <w:lang w:eastAsia="zh-CN" w:bidi="ar"/>
              </w:rPr>
              <w:t>m</w:t>
            </w:r>
            <w:r>
              <w:rPr>
                <w:rStyle w:val="font31"/>
                <w:rFonts w:eastAsia="宋体"/>
                <w:color w:val="auto"/>
                <w:sz w:val="18"/>
                <w:szCs w:val="18"/>
                <w:lang w:eastAsia="zh-CN" w:bidi="ar"/>
              </w:rPr>
              <w:t>g/</w:t>
            </w:r>
            <w:r>
              <w:rPr>
                <w:rStyle w:val="font31"/>
                <w:rFonts w:eastAsia="宋体" w:hint="eastAsia"/>
                <w:color w:val="auto"/>
                <w:sz w:val="18"/>
                <w:szCs w:val="18"/>
                <w:lang w:eastAsia="zh-CN" w:bidi="ar"/>
              </w:rPr>
              <w:t>g</w:t>
            </w:r>
            <w:r>
              <w:rPr>
                <w:rStyle w:val="font11"/>
                <w:rFonts w:eastAsia="宋体"/>
                <w:color w:val="auto"/>
                <w:sz w:val="18"/>
                <w:szCs w:val="18"/>
                <w:lang w:eastAsia="zh-CN" w:bidi="ar"/>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795700A5"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加标回收率（</w:t>
            </w:r>
            <w:r>
              <w:rPr>
                <w:rStyle w:val="font11"/>
                <w:rFonts w:eastAsia="宋体"/>
                <w:color w:val="auto"/>
                <w:sz w:val="18"/>
                <w:szCs w:val="18"/>
                <w:lang w:eastAsia="zh-CN" w:bidi="ar"/>
              </w:rPr>
              <w:t>%</w:t>
            </w:r>
            <w:r>
              <w:rPr>
                <w:rStyle w:val="font01"/>
                <w:rFonts w:hint="default"/>
                <w:color w:val="auto"/>
                <w:sz w:val="18"/>
                <w:szCs w:val="18"/>
                <w:lang w:eastAsia="zh-CN" w:bidi="ar"/>
              </w:rPr>
              <w:t>）</w:t>
            </w:r>
          </w:p>
        </w:tc>
        <w:tc>
          <w:tcPr>
            <w:tcW w:w="790" w:type="dxa"/>
            <w:tcBorders>
              <w:top w:val="single" w:sz="4" w:space="0" w:color="000000"/>
              <w:left w:val="single" w:sz="4" w:space="0" w:color="000000"/>
              <w:bottom w:val="single" w:sz="4" w:space="0" w:color="000000"/>
              <w:right w:val="single" w:sz="4" w:space="0" w:color="000000"/>
            </w:tcBorders>
            <w:vAlign w:val="center"/>
          </w:tcPr>
          <w:p w14:paraId="19C0B2F4"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平均值（</w:t>
            </w:r>
            <w:r>
              <w:rPr>
                <w:rStyle w:val="font11"/>
                <w:rFonts w:eastAsia="宋体"/>
                <w:color w:val="auto"/>
                <w:sz w:val="18"/>
                <w:szCs w:val="18"/>
                <w:lang w:eastAsia="zh-CN" w:bidi="ar"/>
              </w:rPr>
              <w:t>%</w:t>
            </w:r>
            <w:r>
              <w:rPr>
                <w:rStyle w:val="font01"/>
                <w:rFonts w:hint="default"/>
                <w:color w:val="auto"/>
                <w:sz w:val="18"/>
                <w:szCs w:val="18"/>
                <w:lang w:eastAsia="zh-CN" w:bidi="ar"/>
              </w:rPr>
              <w:t>）</w:t>
            </w:r>
          </w:p>
        </w:tc>
        <w:tc>
          <w:tcPr>
            <w:tcW w:w="843" w:type="dxa"/>
            <w:tcBorders>
              <w:top w:val="single" w:sz="4" w:space="0" w:color="000000"/>
              <w:left w:val="single" w:sz="4" w:space="0" w:color="000000"/>
              <w:bottom w:val="single" w:sz="4" w:space="0" w:color="000000"/>
              <w:right w:val="single" w:sz="4" w:space="0" w:color="000000"/>
            </w:tcBorders>
            <w:vAlign w:val="center"/>
          </w:tcPr>
          <w:p w14:paraId="109DFB9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RSD </w:t>
            </w:r>
            <w:r>
              <w:rPr>
                <w:rFonts w:ascii="Times New Roman" w:eastAsia="宋体" w:hAnsi="Times New Roman" w:cs="Times New Roman" w:hint="eastAsia"/>
                <w:color w:val="auto"/>
                <w:sz w:val="18"/>
                <w:szCs w:val="18"/>
                <w:lang w:eastAsia="zh-CN" w:bidi="ar"/>
              </w:rPr>
              <w:t xml:space="preserve">  </w:t>
            </w:r>
            <w:r>
              <w:rPr>
                <w:rStyle w:val="font01"/>
                <w:rFonts w:hint="default"/>
                <w:color w:val="auto"/>
                <w:sz w:val="18"/>
                <w:szCs w:val="18"/>
                <w:lang w:eastAsia="zh-CN" w:bidi="ar"/>
              </w:rPr>
              <w:t>（</w:t>
            </w:r>
            <w:r>
              <w:rPr>
                <w:rStyle w:val="font11"/>
                <w:rFonts w:eastAsia="宋体"/>
                <w:color w:val="auto"/>
                <w:sz w:val="18"/>
                <w:szCs w:val="18"/>
                <w:lang w:eastAsia="zh-CN" w:bidi="ar"/>
              </w:rPr>
              <w:t>%</w:t>
            </w:r>
            <w:r>
              <w:rPr>
                <w:rStyle w:val="font01"/>
                <w:rFonts w:hint="default"/>
                <w:color w:val="auto"/>
                <w:sz w:val="18"/>
                <w:szCs w:val="18"/>
                <w:lang w:eastAsia="zh-CN" w:bidi="ar"/>
              </w:rPr>
              <w:t>）</w:t>
            </w:r>
          </w:p>
        </w:tc>
      </w:tr>
      <w:tr w:rsidR="00F705BE" w14:paraId="2E0668E7"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42851CC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0.5‰</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07ACB6B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07E9359D"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0.5223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18BA79F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99.48 </w:t>
            </w:r>
          </w:p>
        </w:tc>
        <w:tc>
          <w:tcPr>
            <w:tcW w:w="790" w:type="dxa"/>
            <w:vMerge w:val="restart"/>
            <w:tcBorders>
              <w:top w:val="single" w:sz="4" w:space="0" w:color="000000"/>
              <w:left w:val="single" w:sz="4" w:space="0" w:color="000000"/>
              <w:bottom w:val="single" w:sz="4" w:space="0" w:color="000000"/>
              <w:right w:val="single" w:sz="4" w:space="0" w:color="000000"/>
            </w:tcBorders>
            <w:noWrap/>
            <w:vAlign w:val="center"/>
          </w:tcPr>
          <w:p w14:paraId="44E4C4FA"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99.17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17658E07"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1.14 </w:t>
            </w:r>
          </w:p>
        </w:tc>
      </w:tr>
      <w:tr w:rsidR="00F705BE" w14:paraId="47EF0AF0"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46F32EE6"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7A5B043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0BEC4CC"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0.5140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01908CC5"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97.91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2175200F"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255BA5A9" w14:textId="77777777" w:rsidR="00F705BE" w:rsidRDefault="00F705BE">
            <w:pPr>
              <w:jc w:val="center"/>
              <w:rPr>
                <w:rFonts w:ascii="Times New Roman" w:eastAsia="宋体" w:hAnsi="Times New Roman" w:cs="Times New Roman"/>
                <w:color w:val="auto"/>
                <w:sz w:val="18"/>
                <w:szCs w:val="18"/>
              </w:rPr>
            </w:pPr>
          </w:p>
        </w:tc>
      </w:tr>
      <w:tr w:rsidR="00F705BE" w14:paraId="28D0DE15"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388386C5"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28D6132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0.525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37AA767F"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0.5256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2190B51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100.12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4780DE3F"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35DAE005" w14:textId="77777777" w:rsidR="00F705BE" w:rsidRDefault="00F705BE">
            <w:pPr>
              <w:jc w:val="center"/>
              <w:rPr>
                <w:rFonts w:ascii="Times New Roman" w:eastAsia="宋体" w:hAnsi="Times New Roman" w:cs="Times New Roman"/>
                <w:color w:val="auto"/>
                <w:sz w:val="18"/>
                <w:szCs w:val="18"/>
              </w:rPr>
            </w:pPr>
          </w:p>
        </w:tc>
      </w:tr>
      <w:tr w:rsidR="00F705BE" w14:paraId="0C37C3DC"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6FE4A34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1‰</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3159620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4D121156"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1.0253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493000EF"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97.64 </w:t>
            </w:r>
          </w:p>
        </w:tc>
        <w:tc>
          <w:tcPr>
            <w:tcW w:w="790" w:type="dxa"/>
            <w:vMerge w:val="restart"/>
            <w:tcBorders>
              <w:top w:val="single" w:sz="4" w:space="0" w:color="000000"/>
              <w:left w:val="single" w:sz="4" w:space="0" w:color="000000"/>
              <w:bottom w:val="single" w:sz="4" w:space="0" w:color="000000"/>
              <w:right w:val="single" w:sz="4" w:space="0" w:color="000000"/>
            </w:tcBorders>
            <w:noWrap/>
            <w:vAlign w:val="center"/>
          </w:tcPr>
          <w:p w14:paraId="51A0B1D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98.35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1CD4010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0.85 </w:t>
            </w:r>
          </w:p>
        </w:tc>
      </w:tr>
      <w:tr w:rsidR="00F705BE" w14:paraId="16BFA779"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52617463"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7FBACCE8"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3C53E368"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1.0423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7947E1D2"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99.27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55AF3BB6"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3E9289DD" w14:textId="77777777" w:rsidR="00F705BE" w:rsidRDefault="00F705BE">
            <w:pPr>
              <w:jc w:val="center"/>
              <w:rPr>
                <w:rFonts w:ascii="Times New Roman" w:eastAsia="宋体" w:hAnsi="Times New Roman" w:cs="Times New Roman"/>
                <w:color w:val="auto"/>
                <w:sz w:val="18"/>
                <w:szCs w:val="18"/>
              </w:rPr>
            </w:pPr>
          </w:p>
        </w:tc>
      </w:tr>
      <w:tr w:rsidR="00F705BE" w14:paraId="59A1AA75"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51888BAC"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7E632098"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3BE662A0"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1.0304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10627443"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98.13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2C12E38A"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6BAFFD9F" w14:textId="77777777" w:rsidR="00F705BE" w:rsidRDefault="00F705BE">
            <w:pPr>
              <w:jc w:val="center"/>
              <w:rPr>
                <w:rFonts w:ascii="Times New Roman" w:eastAsia="宋体" w:hAnsi="Times New Roman" w:cs="Times New Roman"/>
                <w:color w:val="auto"/>
                <w:sz w:val="18"/>
                <w:szCs w:val="18"/>
              </w:rPr>
            </w:pPr>
          </w:p>
        </w:tc>
      </w:tr>
      <w:tr w:rsidR="00F705BE" w14:paraId="3BE50ED0" w14:textId="77777777">
        <w:trPr>
          <w:trHeight w:val="113"/>
          <w:jc w:val="center"/>
        </w:trPr>
        <w:tc>
          <w:tcPr>
            <w:tcW w:w="990" w:type="dxa"/>
            <w:vMerge w:val="restart"/>
            <w:tcBorders>
              <w:top w:val="single" w:sz="4" w:space="0" w:color="000000"/>
              <w:left w:val="single" w:sz="4" w:space="0" w:color="000000"/>
              <w:bottom w:val="single" w:sz="4" w:space="0" w:color="000000"/>
              <w:right w:val="single" w:sz="4" w:space="0" w:color="000000"/>
            </w:tcBorders>
            <w:noWrap/>
            <w:vAlign w:val="center"/>
          </w:tcPr>
          <w:p w14:paraId="2A152159"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2‰</w:t>
            </w: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07AD1AD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6EA8258"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2.0736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3D972935"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98.74 </w:t>
            </w:r>
          </w:p>
        </w:tc>
        <w:tc>
          <w:tcPr>
            <w:tcW w:w="790" w:type="dxa"/>
            <w:vMerge w:val="restart"/>
            <w:tcBorders>
              <w:top w:val="single" w:sz="4" w:space="0" w:color="000000"/>
              <w:left w:val="single" w:sz="4" w:space="0" w:color="000000"/>
              <w:bottom w:val="single" w:sz="4" w:space="0" w:color="000000"/>
              <w:right w:val="single" w:sz="4" w:space="0" w:color="000000"/>
            </w:tcBorders>
            <w:noWrap/>
            <w:vAlign w:val="center"/>
          </w:tcPr>
          <w:p w14:paraId="6B14BBC8"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98.67 </w:t>
            </w:r>
          </w:p>
        </w:tc>
        <w:tc>
          <w:tcPr>
            <w:tcW w:w="843" w:type="dxa"/>
            <w:vMerge w:val="restart"/>
            <w:tcBorders>
              <w:top w:val="single" w:sz="4" w:space="0" w:color="000000"/>
              <w:left w:val="single" w:sz="4" w:space="0" w:color="000000"/>
              <w:bottom w:val="single" w:sz="4" w:space="0" w:color="000000"/>
              <w:right w:val="single" w:sz="4" w:space="0" w:color="000000"/>
            </w:tcBorders>
            <w:noWrap/>
            <w:vAlign w:val="center"/>
          </w:tcPr>
          <w:p w14:paraId="1574C638"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0.50 </w:t>
            </w:r>
          </w:p>
        </w:tc>
      </w:tr>
      <w:tr w:rsidR="00F705BE" w14:paraId="2ADE8468"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5D760B71"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14A1CBA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1E0E0109"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2.0816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1A4A816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99.12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3753ED31"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29BF4C4A" w14:textId="77777777" w:rsidR="00F705BE" w:rsidRDefault="00F705BE">
            <w:pPr>
              <w:jc w:val="center"/>
              <w:rPr>
                <w:rFonts w:ascii="Times New Roman" w:eastAsia="宋体" w:hAnsi="Times New Roman" w:cs="Times New Roman"/>
                <w:color w:val="auto"/>
                <w:sz w:val="18"/>
                <w:szCs w:val="18"/>
              </w:rPr>
            </w:pPr>
          </w:p>
        </w:tc>
      </w:tr>
      <w:tr w:rsidR="00F705BE" w14:paraId="7D52D51D" w14:textId="77777777">
        <w:trPr>
          <w:trHeight w:val="113"/>
          <w:jc w:val="center"/>
        </w:trPr>
        <w:tc>
          <w:tcPr>
            <w:tcW w:w="990" w:type="dxa"/>
            <w:vMerge/>
            <w:tcBorders>
              <w:top w:val="single" w:sz="4" w:space="0" w:color="000000"/>
              <w:left w:val="single" w:sz="4" w:space="0" w:color="000000"/>
              <w:bottom w:val="single" w:sz="4" w:space="0" w:color="000000"/>
              <w:right w:val="single" w:sz="4" w:space="0" w:color="000000"/>
            </w:tcBorders>
            <w:noWrap/>
            <w:vAlign w:val="center"/>
          </w:tcPr>
          <w:p w14:paraId="358A553C" w14:textId="77777777" w:rsidR="00F705BE" w:rsidRDefault="00F705BE">
            <w:pPr>
              <w:jc w:val="center"/>
              <w:rPr>
                <w:rFonts w:ascii="Times New Roman" w:eastAsia="宋体" w:hAnsi="Times New Roman" w:cs="Times New Roman"/>
                <w:color w:val="auto"/>
                <w:sz w:val="18"/>
                <w:szCs w:val="18"/>
              </w:rPr>
            </w:pPr>
          </w:p>
        </w:tc>
        <w:tc>
          <w:tcPr>
            <w:tcW w:w="1207" w:type="dxa"/>
            <w:tcBorders>
              <w:top w:val="single" w:sz="4" w:space="0" w:color="000000"/>
              <w:left w:val="single" w:sz="4" w:space="0" w:color="000000"/>
              <w:bottom w:val="single" w:sz="4" w:space="0" w:color="000000"/>
              <w:right w:val="single" w:sz="4" w:space="0" w:color="000000"/>
            </w:tcBorders>
            <w:noWrap/>
            <w:vAlign w:val="center"/>
          </w:tcPr>
          <w:p w14:paraId="16F4B54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rPr>
              <w:t>2.10</w:t>
            </w:r>
          </w:p>
        </w:tc>
        <w:tc>
          <w:tcPr>
            <w:tcW w:w="1370" w:type="dxa"/>
            <w:tcBorders>
              <w:top w:val="single" w:sz="4" w:space="0" w:color="000000"/>
              <w:left w:val="single" w:sz="4" w:space="0" w:color="000000"/>
              <w:bottom w:val="single" w:sz="4" w:space="0" w:color="000000"/>
              <w:right w:val="single" w:sz="4" w:space="0" w:color="000000"/>
            </w:tcBorders>
            <w:noWrap/>
            <w:vAlign w:val="center"/>
          </w:tcPr>
          <w:p w14:paraId="44DABCB5"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2.0612 </w:t>
            </w:r>
          </w:p>
        </w:tc>
        <w:tc>
          <w:tcPr>
            <w:tcW w:w="1200" w:type="dxa"/>
            <w:tcBorders>
              <w:top w:val="single" w:sz="4" w:space="0" w:color="000000"/>
              <w:left w:val="single" w:sz="4" w:space="0" w:color="000000"/>
              <w:bottom w:val="single" w:sz="4" w:space="0" w:color="000000"/>
              <w:right w:val="single" w:sz="4" w:space="0" w:color="000000"/>
            </w:tcBorders>
            <w:noWrap/>
            <w:vAlign w:val="center"/>
          </w:tcPr>
          <w:p w14:paraId="16863EC7"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98.15 </w:t>
            </w:r>
          </w:p>
        </w:tc>
        <w:tc>
          <w:tcPr>
            <w:tcW w:w="790" w:type="dxa"/>
            <w:vMerge/>
            <w:tcBorders>
              <w:top w:val="single" w:sz="4" w:space="0" w:color="000000"/>
              <w:left w:val="single" w:sz="4" w:space="0" w:color="000000"/>
              <w:bottom w:val="single" w:sz="4" w:space="0" w:color="000000"/>
              <w:right w:val="single" w:sz="4" w:space="0" w:color="000000"/>
            </w:tcBorders>
            <w:noWrap/>
            <w:vAlign w:val="center"/>
          </w:tcPr>
          <w:p w14:paraId="372315A9" w14:textId="77777777" w:rsidR="00F705BE" w:rsidRDefault="00F705BE">
            <w:pPr>
              <w:jc w:val="center"/>
              <w:rPr>
                <w:rFonts w:ascii="Times New Roman" w:eastAsia="宋体" w:hAnsi="Times New Roman" w:cs="Times New Roman"/>
                <w:color w:val="auto"/>
                <w:sz w:val="18"/>
                <w:szCs w:val="18"/>
              </w:rPr>
            </w:pPr>
          </w:p>
        </w:tc>
        <w:tc>
          <w:tcPr>
            <w:tcW w:w="843" w:type="dxa"/>
            <w:vMerge/>
            <w:tcBorders>
              <w:top w:val="single" w:sz="4" w:space="0" w:color="000000"/>
              <w:left w:val="single" w:sz="4" w:space="0" w:color="000000"/>
              <w:bottom w:val="single" w:sz="4" w:space="0" w:color="000000"/>
              <w:right w:val="single" w:sz="4" w:space="0" w:color="000000"/>
            </w:tcBorders>
            <w:noWrap/>
            <w:vAlign w:val="center"/>
          </w:tcPr>
          <w:p w14:paraId="5802C52B" w14:textId="77777777" w:rsidR="00F705BE" w:rsidRDefault="00F705BE">
            <w:pPr>
              <w:jc w:val="center"/>
              <w:rPr>
                <w:rFonts w:ascii="Times New Roman" w:eastAsia="宋体" w:hAnsi="Times New Roman" w:cs="Times New Roman"/>
                <w:color w:val="auto"/>
                <w:sz w:val="18"/>
                <w:szCs w:val="18"/>
              </w:rPr>
            </w:pPr>
          </w:p>
        </w:tc>
      </w:tr>
    </w:tbl>
    <w:p w14:paraId="6DC6B936" w14:textId="77777777" w:rsidR="00F705BE" w:rsidRDefault="00F705BE">
      <w:pPr>
        <w:spacing w:line="345" w:lineRule="auto"/>
        <w:rPr>
          <w:rFonts w:ascii="宋体" w:eastAsia="宋体" w:hAnsi="宋体" w:cs="宋体" w:hint="eastAsia"/>
          <w:lang w:eastAsia="zh-CN"/>
        </w:rPr>
      </w:pPr>
    </w:p>
    <w:p w14:paraId="7BBC3A3C" w14:textId="77777777" w:rsidR="00F705BE" w:rsidRDefault="00000000">
      <w:pPr>
        <w:spacing w:line="345" w:lineRule="auto"/>
        <w:rPr>
          <w:rFonts w:ascii="宋体" w:eastAsia="宋体" w:hAnsi="宋体" w:cs="宋体" w:hint="eastAsia"/>
          <w:lang w:eastAsia="zh-CN"/>
        </w:rPr>
      </w:pPr>
      <w:r>
        <w:rPr>
          <w:rFonts w:ascii="宋体" w:eastAsia="宋体" w:hAnsi="宋体" w:cs="宋体" w:hint="eastAsia"/>
          <w:lang w:eastAsia="zh-CN"/>
        </w:rPr>
        <w:lastRenderedPageBreak/>
        <w:t>3.2.6 精密度</w:t>
      </w:r>
    </w:p>
    <w:p w14:paraId="7F13061B" w14:textId="77777777" w:rsidR="00F705BE" w:rsidRDefault="00000000">
      <w:pPr>
        <w:spacing w:line="345" w:lineRule="auto"/>
        <w:ind w:firstLineChars="200" w:firstLine="420"/>
        <w:rPr>
          <w:rFonts w:ascii="Times New Roman" w:eastAsia="宋体" w:hAnsi="Times New Roman" w:cs="Times New Roman"/>
          <w:lang w:eastAsia="zh-CN"/>
        </w:rPr>
      </w:pPr>
      <w:r>
        <w:rPr>
          <w:rFonts w:ascii="Times New Roman" w:eastAsia="宋体" w:hAnsi="Times New Roman" w:cs="Times New Roman"/>
          <w:lang w:eastAsia="zh-CN"/>
        </w:rPr>
        <w:t>称取液体基质样品</w:t>
      </w:r>
      <w:r>
        <w:rPr>
          <w:rFonts w:ascii="Times New Roman" w:eastAsia="宋体" w:hAnsi="Times New Roman" w:cs="Times New Roman"/>
          <w:lang w:eastAsia="zh-CN"/>
        </w:rPr>
        <w:t>0.2 g</w:t>
      </w:r>
      <w:r>
        <w:rPr>
          <w:rFonts w:ascii="Times New Roman" w:eastAsia="宋体" w:hAnsi="Times New Roman" w:cs="Times New Roman" w:hint="eastAsia"/>
          <w:lang w:eastAsia="zh-CN"/>
        </w:rPr>
        <w:t>，按照液体样品处理方法，进行加标回收实验，添加水平</w:t>
      </w:r>
      <w:r>
        <w:rPr>
          <w:rFonts w:ascii="宋体" w:eastAsia="宋体" w:hAnsi="宋体" w:cs="宋体" w:hint="eastAsia"/>
          <w:lang w:eastAsia="zh-CN"/>
        </w:rPr>
        <w:t>在</w:t>
      </w:r>
      <w:r>
        <w:rPr>
          <w:rFonts w:ascii="Times New Roman" w:eastAsia="宋体" w:hAnsi="Times New Roman" w:cs="Times New Roman" w:hint="eastAsia"/>
          <w:lang w:eastAsia="zh-CN"/>
        </w:rPr>
        <w:t>1</w:t>
      </w:r>
      <w:r>
        <w:rPr>
          <w:rFonts w:ascii="Times New Roman" w:eastAsia="宋体" w:hAnsi="Times New Roman" w:cs="Times New Roman"/>
          <w:lang w:eastAsia="zh-CN"/>
        </w:rPr>
        <w:t>‰</w:t>
      </w:r>
      <w:r>
        <w:rPr>
          <w:rFonts w:ascii="Times New Roman" w:eastAsia="宋体" w:hAnsi="Times New Roman" w:cs="Times New Roman" w:hint="eastAsia"/>
          <w:lang w:eastAsia="zh-CN"/>
        </w:rPr>
        <w:t>进行，计算平均回收率和相对标准偏差（</w:t>
      </w:r>
      <w:r>
        <w:rPr>
          <w:rFonts w:ascii="Times New Roman" w:eastAsia="宋体" w:hAnsi="Times New Roman" w:cs="Times New Roman" w:hint="eastAsia"/>
          <w:lang w:eastAsia="zh-CN"/>
        </w:rPr>
        <w:t>RSD</w:t>
      </w:r>
      <w:r>
        <w:rPr>
          <w:rFonts w:ascii="Times New Roman" w:eastAsia="宋体" w:hAnsi="Times New Roman" w:cs="Times New Roman" w:hint="eastAsia"/>
          <w:lang w:eastAsia="zh-CN"/>
        </w:rPr>
        <w:t>），方法的精密度可满足分析的要求。详见表</w:t>
      </w:r>
      <w:r>
        <w:rPr>
          <w:rFonts w:ascii="Times New Roman" w:eastAsia="宋体" w:hAnsi="Times New Roman" w:cs="Times New Roman" w:hint="eastAsia"/>
          <w:lang w:eastAsia="zh-CN"/>
        </w:rPr>
        <w:t>5</w:t>
      </w:r>
      <w:r>
        <w:rPr>
          <w:rFonts w:ascii="Times New Roman" w:eastAsia="宋体" w:hAnsi="Times New Roman" w:cs="Times New Roman" w:hint="eastAsia"/>
          <w:lang w:eastAsia="zh-CN"/>
        </w:rPr>
        <w:t>。</w:t>
      </w:r>
    </w:p>
    <w:p w14:paraId="17DE32D2" w14:textId="77777777" w:rsidR="00F705BE" w:rsidRDefault="00000000">
      <w:pPr>
        <w:spacing w:line="345" w:lineRule="auto"/>
        <w:jc w:val="center"/>
        <w:rPr>
          <w:lang w:eastAsia="zh-CN"/>
        </w:rPr>
      </w:pPr>
      <w:r>
        <w:rPr>
          <w:rFonts w:ascii="Times New Roman" w:eastAsia="宋体" w:hAnsi="Times New Roman" w:cs="Times New Roman"/>
          <w:lang w:eastAsia="zh-CN"/>
        </w:rPr>
        <w:t>表</w:t>
      </w:r>
      <w:r>
        <w:rPr>
          <w:rFonts w:ascii="Times New Roman" w:eastAsia="宋体" w:hAnsi="Times New Roman" w:cs="Times New Roman" w:hint="eastAsia"/>
          <w:lang w:eastAsia="zh-CN"/>
        </w:rPr>
        <w:t xml:space="preserve">5 </w:t>
      </w:r>
      <w:r>
        <w:rPr>
          <w:rFonts w:ascii="Times New Roman" w:eastAsia="宋体" w:hAnsi="Times New Roman" w:cs="Times New Roman" w:hint="eastAsia"/>
          <w:lang w:eastAsia="zh-CN"/>
        </w:rPr>
        <w:t>液体样品基质中</w:t>
      </w:r>
      <w:r>
        <w:rPr>
          <w:rFonts w:hint="eastAsia"/>
          <w:lang w:eastAsia="zh-CN"/>
        </w:rPr>
        <w:t>二牛脂基二甲基氯化铵加标测定精密度结果</w:t>
      </w:r>
    </w:p>
    <w:tbl>
      <w:tblPr>
        <w:tblW w:w="5940" w:type="dxa"/>
        <w:jc w:val="center"/>
        <w:tblLayout w:type="fixed"/>
        <w:tblLook w:val="04A0" w:firstRow="1" w:lastRow="0" w:firstColumn="1" w:lastColumn="0" w:noHBand="0" w:noVBand="1"/>
      </w:tblPr>
      <w:tblGrid>
        <w:gridCol w:w="666"/>
        <w:gridCol w:w="1213"/>
        <w:gridCol w:w="1213"/>
        <w:gridCol w:w="1215"/>
        <w:gridCol w:w="845"/>
        <w:gridCol w:w="788"/>
      </w:tblGrid>
      <w:tr w:rsidR="00F705BE" w14:paraId="34C5C431" w14:textId="77777777">
        <w:trPr>
          <w:trHeight w:val="113"/>
          <w:jc w:val="center"/>
        </w:trPr>
        <w:tc>
          <w:tcPr>
            <w:tcW w:w="666" w:type="dxa"/>
            <w:tcBorders>
              <w:top w:val="single" w:sz="4" w:space="0" w:color="000000"/>
              <w:left w:val="single" w:sz="4" w:space="0" w:color="000000"/>
              <w:bottom w:val="single" w:sz="4" w:space="0" w:color="000000"/>
              <w:right w:val="single" w:sz="4" w:space="0" w:color="000000"/>
            </w:tcBorders>
            <w:vAlign w:val="center"/>
          </w:tcPr>
          <w:p w14:paraId="42506341" w14:textId="77777777" w:rsidR="00F705BE" w:rsidRDefault="00000000">
            <w:pPr>
              <w:jc w:val="center"/>
              <w:textAlignment w:val="center"/>
              <w:rPr>
                <w:rFonts w:ascii="宋体" w:eastAsia="宋体" w:hAnsi="宋体" w:cs="宋体" w:hint="eastAsia"/>
                <w:color w:val="auto"/>
                <w:sz w:val="18"/>
                <w:szCs w:val="18"/>
                <w:lang w:eastAsia="zh-CN" w:bidi="ar"/>
              </w:rPr>
            </w:pPr>
            <w:r>
              <w:rPr>
                <w:rFonts w:ascii="宋体" w:eastAsia="宋体" w:hAnsi="宋体" w:cs="宋体" w:hint="eastAsia"/>
                <w:color w:val="auto"/>
                <w:sz w:val="18"/>
                <w:szCs w:val="18"/>
                <w:lang w:eastAsia="zh-CN" w:bidi="ar"/>
              </w:rPr>
              <w:t>序号</w:t>
            </w:r>
          </w:p>
        </w:tc>
        <w:tc>
          <w:tcPr>
            <w:tcW w:w="1213" w:type="dxa"/>
            <w:tcBorders>
              <w:top w:val="single" w:sz="4" w:space="0" w:color="000000"/>
              <w:left w:val="single" w:sz="4" w:space="0" w:color="000000"/>
              <w:bottom w:val="single" w:sz="4" w:space="0" w:color="000000"/>
              <w:right w:val="single" w:sz="4" w:space="0" w:color="000000"/>
            </w:tcBorders>
            <w:vAlign w:val="center"/>
          </w:tcPr>
          <w:p w14:paraId="20FC7A99"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加入量(</w:t>
            </w:r>
            <w:r>
              <w:rPr>
                <w:rStyle w:val="font31"/>
                <w:rFonts w:eastAsia="宋体" w:hint="eastAsia"/>
                <w:color w:val="auto"/>
                <w:sz w:val="18"/>
                <w:szCs w:val="18"/>
                <w:lang w:eastAsia="zh-CN" w:bidi="ar"/>
              </w:rPr>
              <w:t>m</w:t>
            </w:r>
            <w:r>
              <w:rPr>
                <w:rStyle w:val="font31"/>
                <w:rFonts w:eastAsia="宋体"/>
                <w:color w:val="auto"/>
                <w:sz w:val="18"/>
                <w:szCs w:val="18"/>
                <w:lang w:eastAsia="zh-CN" w:bidi="ar"/>
              </w:rPr>
              <w:t>g</w:t>
            </w:r>
            <w:r>
              <w:rPr>
                <w:rStyle w:val="font31"/>
                <w:rFonts w:eastAsia="宋体" w:hint="eastAsia"/>
                <w:color w:val="auto"/>
                <w:sz w:val="18"/>
                <w:szCs w:val="18"/>
                <w:lang w:eastAsia="zh-CN" w:bidi="ar"/>
              </w:rPr>
              <w:t>/g</w:t>
            </w:r>
            <w:r>
              <w:rPr>
                <w:rStyle w:val="font01"/>
                <w:color w:val="auto"/>
                <w:sz w:val="18"/>
                <w:szCs w:val="18"/>
                <w:lang w:eastAsia="zh-CN" w:bidi="ar"/>
              </w:rPr>
              <w:t>)</w:t>
            </w:r>
          </w:p>
        </w:tc>
        <w:tc>
          <w:tcPr>
            <w:tcW w:w="1213" w:type="dxa"/>
            <w:tcBorders>
              <w:top w:val="single" w:sz="4" w:space="0" w:color="000000"/>
              <w:left w:val="single" w:sz="4" w:space="0" w:color="000000"/>
              <w:bottom w:val="single" w:sz="4" w:space="0" w:color="000000"/>
              <w:right w:val="single" w:sz="4" w:space="0" w:color="000000"/>
            </w:tcBorders>
            <w:vAlign w:val="center"/>
          </w:tcPr>
          <w:p w14:paraId="10F80C16" w14:textId="77777777" w:rsidR="00F705BE" w:rsidRDefault="00000000">
            <w:pPr>
              <w:jc w:val="center"/>
              <w:textAlignment w:val="center"/>
              <w:rPr>
                <w:rFonts w:ascii="Times New Roman" w:eastAsia="宋体" w:hAnsi="Times New Roman" w:cs="Times New Roman"/>
                <w:color w:val="auto"/>
                <w:sz w:val="18"/>
                <w:szCs w:val="18"/>
              </w:rPr>
            </w:pPr>
            <w:r>
              <w:rPr>
                <w:rStyle w:val="font01"/>
                <w:color w:val="auto"/>
                <w:sz w:val="18"/>
                <w:szCs w:val="18"/>
                <w:lang w:eastAsia="zh-CN" w:bidi="ar"/>
              </w:rPr>
              <w:t>检测结果</w:t>
            </w:r>
            <w:r>
              <w:rPr>
                <w:rFonts w:ascii="Times New Roman" w:eastAsia="宋体" w:hAnsi="Times New Roman" w:cs="Times New Roman"/>
                <w:color w:val="auto"/>
                <w:sz w:val="18"/>
                <w:szCs w:val="18"/>
                <w:lang w:eastAsia="zh-CN" w:bidi="ar"/>
              </w:rPr>
              <w:t xml:space="preserve">         (μg/mL)</w:t>
            </w:r>
          </w:p>
        </w:tc>
        <w:tc>
          <w:tcPr>
            <w:tcW w:w="1215" w:type="dxa"/>
            <w:tcBorders>
              <w:top w:val="single" w:sz="4" w:space="0" w:color="000000"/>
              <w:left w:val="single" w:sz="4" w:space="0" w:color="000000"/>
              <w:bottom w:val="single" w:sz="4" w:space="0" w:color="000000"/>
              <w:right w:val="single" w:sz="4" w:space="0" w:color="000000"/>
            </w:tcBorders>
            <w:vAlign w:val="center"/>
          </w:tcPr>
          <w:p w14:paraId="16F46CEE" w14:textId="77777777" w:rsidR="00F705BE" w:rsidRDefault="00000000">
            <w:pPr>
              <w:jc w:val="center"/>
              <w:textAlignment w:val="center"/>
              <w:rPr>
                <w:rFonts w:ascii="Times New Roman" w:eastAsia="宋体" w:hAnsi="Times New Roman" w:cs="Times New Roman"/>
                <w:color w:val="auto"/>
                <w:sz w:val="18"/>
                <w:szCs w:val="18"/>
              </w:rPr>
            </w:pPr>
            <w:r>
              <w:rPr>
                <w:rStyle w:val="font01"/>
                <w:rFonts w:hint="default"/>
                <w:color w:val="auto"/>
                <w:sz w:val="18"/>
                <w:szCs w:val="18"/>
                <w:lang w:eastAsia="zh-CN" w:bidi="ar"/>
              </w:rPr>
              <w:t>加标回收率</w:t>
            </w:r>
            <w:r>
              <w:rPr>
                <w:rFonts w:ascii="宋体" w:eastAsia="宋体" w:hAnsi="宋体" w:cs="宋体" w:hint="eastAsia"/>
                <w:color w:val="auto"/>
                <w:sz w:val="18"/>
                <w:szCs w:val="18"/>
                <w:lang w:eastAsia="zh-CN" w:bidi="ar"/>
              </w:rPr>
              <w:t>（</w:t>
            </w:r>
            <w:r>
              <w:rPr>
                <w:rFonts w:ascii="Times New Roman" w:eastAsia="宋体" w:hAnsi="Times New Roman" w:cs="Times New Roman"/>
                <w:color w:val="auto"/>
                <w:sz w:val="18"/>
                <w:szCs w:val="18"/>
                <w:lang w:eastAsia="zh-CN" w:bidi="ar"/>
              </w:rPr>
              <w:t>%</w:t>
            </w:r>
            <w:r>
              <w:rPr>
                <w:rFonts w:ascii="宋体" w:eastAsia="宋体" w:hAnsi="宋体" w:cs="宋体" w:hint="eastAsia"/>
                <w:color w:val="auto"/>
                <w:sz w:val="18"/>
                <w:szCs w:val="18"/>
                <w:lang w:eastAsia="zh-CN" w:bidi="ar"/>
              </w:rPr>
              <w:t>）</w:t>
            </w:r>
          </w:p>
        </w:tc>
        <w:tc>
          <w:tcPr>
            <w:tcW w:w="845" w:type="dxa"/>
            <w:tcBorders>
              <w:top w:val="single" w:sz="4" w:space="0" w:color="000000"/>
              <w:left w:val="single" w:sz="4" w:space="0" w:color="000000"/>
              <w:bottom w:val="single" w:sz="4" w:space="0" w:color="000000"/>
              <w:right w:val="single" w:sz="4" w:space="0" w:color="000000"/>
            </w:tcBorders>
            <w:vAlign w:val="center"/>
          </w:tcPr>
          <w:p w14:paraId="3A039E22" w14:textId="77777777" w:rsidR="00F705BE" w:rsidRDefault="00000000">
            <w:pPr>
              <w:jc w:val="center"/>
              <w:textAlignment w:val="center"/>
              <w:rPr>
                <w:rFonts w:ascii="Times New Roman" w:eastAsia="宋体" w:hAnsi="Times New Roman" w:cs="Times New Roman"/>
                <w:color w:val="auto"/>
                <w:sz w:val="18"/>
                <w:szCs w:val="18"/>
              </w:rPr>
            </w:pPr>
            <w:r>
              <w:rPr>
                <w:rFonts w:ascii="宋体" w:eastAsia="宋体" w:hAnsi="宋体" w:cs="宋体" w:hint="eastAsia"/>
                <w:color w:val="auto"/>
                <w:sz w:val="18"/>
                <w:szCs w:val="18"/>
                <w:lang w:eastAsia="zh-CN" w:bidi="ar"/>
              </w:rPr>
              <w:t>平均值（</w:t>
            </w:r>
            <w:r>
              <w:rPr>
                <w:rFonts w:ascii="Times New Roman" w:eastAsia="宋体" w:hAnsi="Times New Roman" w:cs="Times New Roman"/>
                <w:color w:val="auto"/>
                <w:sz w:val="18"/>
                <w:szCs w:val="18"/>
                <w:lang w:eastAsia="zh-CN" w:bidi="ar"/>
              </w:rPr>
              <w:t>%</w:t>
            </w:r>
            <w:r>
              <w:rPr>
                <w:rFonts w:ascii="宋体" w:eastAsia="宋体" w:hAnsi="宋体" w:cs="宋体" w:hint="eastAsia"/>
                <w:color w:val="auto"/>
                <w:sz w:val="18"/>
                <w:szCs w:val="18"/>
                <w:lang w:eastAsia="zh-CN" w:bidi="ar"/>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37D6569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RSD </w:t>
            </w:r>
            <w:r>
              <w:rPr>
                <w:rFonts w:ascii="宋体" w:eastAsia="宋体" w:hAnsi="宋体" w:cs="宋体" w:hint="eastAsia"/>
                <w:color w:val="auto"/>
                <w:sz w:val="18"/>
                <w:szCs w:val="18"/>
                <w:lang w:eastAsia="zh-CN" w:bidi="ar"/>
              </w:rPr>
              <w:t>（</w:t>
            </w:r>
            <w:r>
              <w:rPr>
                <w:rFonts w:ascii="Times New Roman" w:eastAsia="宋体" w:hAnsi="Times New Roman" w:cs="Times New Roman"/>
                <w:color w:val="auto"/>
                <w:sz w:val="18"/>
                <w:szCs w:val="18"/>
                <w:lang w:eastAsia="zh-CN" w:bidi="ar"/>
              </w:rPr>
              <w:t>%</w:t>
            </w:r>
            <w:r>
              <w:rPr>
                <w:rFonts w:ascii="宋体" w:eastAsia="宋体" w:hAnsi="宋体" w:cs="宋体" w:hint="eastAsia"/>
                <w:color w:val="auto"/>
                <w:sz w:val="18"/>
                <w:szCs w:val="18"/>
                <w:lang w:eastAsia="zh-CN" w:bidi="ar"/>
              </w:rPr>
              <w:t>）</w:t>
            </w:r>
          </w:p>
        </w:tc>
      </w:tr>
      <w:tr w:rsidR="00F705BE" w14:paraId="7EABB97C" w14:textId="77777777">
        <w:trPr>
          <w:trHeight w:val="113"/>
          <w:jc w:val="center"/>
        </w:trPr>
        <w:tc>
          <w:tcPr>
            <w:tcW w:w="666" w:type="dxa"/>
            <w:tcBorders>
              <w:top w:val="single" w:sz="4" w:space="0" w:color="000000"/>
              <w:left w:val="single" w:sz="4" w:space="0" w:color="000000"/>
              <w:bottom w:val="single" w:sz="4" w:space="0" w:color="000000"/>
              <w:right w:val="single" w:sz="4" w:space="0" w:color="000000"/>
            </w:tcBorders>
            <w:noWrap/>
            <w:vAlign w:val="center"/>
          </w:tcPr>
          <w:p w14:paraId="220448A5"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hint="eastAsia"/>
                <w:color w:val="auto"/>
                <w:sz w:val="18"/>
                <w:szCs w:val="18"/>
                <w:lang w:eastAsia="zh-CN" w:bidi="ar"/>
              </w:rPr>
              <w:t>1</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1963A84D"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1F3C5AF5"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1.0802 </w:t>
            </w:r>
          </w:p>
        </w:tc>
        <w:tc>
          <w:tcPr>
            <w:tcW w:w="1215" w:type="dxa"/>
            <w:tcBorders>
              <w:top w:val="single" w:sz="4" w:space="0" w:color="000000"/>
              <w:left w:val="single" w:sz="4" w:space="0" w:color="000000"/>
              <w:bottom w:val="single" w:sz="4" w:space="0" w:color="000000"/>
              <w:right w:val="single" w:sz="4" w:space="0" w:color="000000"/>
            </w:tcBorders>
            <w:noWrap/>
            <w:vAlign w:val="center"/>
          </w:tcPr>
          <w:p w14:paraId="697A1955"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102.88</w:t>
            </w:r>
          </w:p>
        </w:tc>
        <w:tc>
          <w:tcPr>
            <w:tcW w:w="845" w:type="dxa"/>
            <w:vMerge w:val="restart"/>
            <w:tcBorders>
              <w:top w:val="single" w:sz="4" w:space="0" w:color="000000"/>
              <w:left w:val="single" w:sz="4" w:space="0" w:color="000000"/>
              <w:bottom w:val="single" w:sz="4" w:space="0" w:color="000000"/>
              <w:right w:val="single" w:sz="4" w:space="0" w:color="000000"/>
            </w:tcBorders>
            <w:noWrap/>
            <w:vAlign w:val="center"/>
          </w:tcPr>
          <w:p w14:paraId="0C2AB1CA"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100.04 </w:t>
            </w:r>
          </w:p>
        </w:tc>
        <w:tc>
          <w:tcPr>
            <w:tcW w:w="788" w:type="dxa"/>
            <w:vMerge w:val="restart"/>
            <w:tcBorders>
              <w:top w:val="single" w:sz="4" w:space="0" w:color="000000"/>
              <w:left w:val="single" w:sz="4" w:space="0" w:color="000000"/>
              <w:bottom w:val="single" w:sz="4" w:space="0" w:color="000000"/>
              <w:right w:val="single" w:sz="4" w:space="0" w:color="000000"/>
            </w:tcBorders>
            <w:noWrap/>
            <w:vAlign w:val="center"/>
          </w:tcPr>
          <w:p w14:paraId="5CF3590A"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 xml:space="preserve">1.98 </w:t>
            </w:r>
          </w:p>
        </w:tc>
      </w:tr>
      <w:tr w:rsidR="00F705BE" w14:paraId="38C362EF" w14:textId="77777777">
        <w:trPr>
          <w:trHeight w:val="113"/>
          <w:jc w:val="center"/>
        </w:trPr>
        <w:tc>
          <w:tcPr>
            <w:tcW w:w="666" w:type="dxa"/>
            <w:tcBorders>
              <w:top w:val="single" w:sz="4" w:space="0" w:color="000000"/>
              <w:left w:val="single" w:sz="4" w:space="0" w:color="000000"/>
              <w:bottom w:val="single" w:sz="4" w:space="0" w:color="000000"/>
              <w:right w:val="single" w:sz="4" w:space="0" w:color="000000"/>
            </w:tcBorders>
            <w:noWrap/>
            <w:vAlign w:val="center"/>
          </w:tcPr>
          <w:p w14:paraId="1CF7B69F"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hint="eastAsia"/>
                <w:color w:val="auto"/>
                <w:sz w:val="18"/>
                <w:szCs w:val="18"/>
                <w:lang w:eastAsia="zh-CN" w:bidi="ar"/>
              </w:rPr>
              <w:t>2</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6625ACE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4E6619A4"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1.0576 </w:t>
            </w:r>
          </w:p>
        </w:tc>
        <w:tc>
          <w:tcPr>
            <w:tcW w:w="1215" w:type="dxa"/>
            <w:tcBorders>
              <w:top w:val="single" w:sz="4" w:space="0" w:color="000000"/>
              <w:left w:val="single" w:sz="4" w:space="0" w:color="000000"/>
              <w:bottom w:val="single" w:sz="4" w:space="0" w:color="000000"/>
              <w:right w:val="single" w:sz="4" w:space="0" w:color="000000"/>
            </w:tcBorders>
            <w:noWrap/>
            <w:vAlign w:val="center"/>
          </w:tcPr>
          <w:p w14:paraId="3DF2839E"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100.72</w:t>
            </w:r>
          </w:p>
        </w:tc>
        <w:tc>
          <w:tcPr>
            <w:tcW w:w="845" w:type="dxa"/>
            <w:vMerge/>
            <w:tcBorders>
              <w:top w:val="single" w:sz="4" w:space="0" w:color="000000"/>
              <w:left w:val="single" w:sz="4" w:space="0" w:color="000000"/>
              <w:bottom w:val="single" w:sz="4" w:space="0" w:color="000000"/>
              <w:right w:val="single" w:sz="4" w:space="0" w:color="000000"/>
            </w:tcBorders>
            <w:noWrap/>
            <w:vAlign w:val="center"/>
          </w:tcPr>
          <w:p w14:paraId="1BB0127A" w14:textId="77777777" w:rsidR="00F705BE" w:rsidRDefault="00F705BE">
            <w:pPr>
              <w:jc w:val="center"/>
              <w:rPr>
                <w:rFonts w:ascii="Times New Roman" w:eastAsia="宋体" w:hAnsi="Times New Roman" w:cs="Times New Roman"/>
                <w:color w:val="auto"/>
                <w:sz w:val="18"/>
                <w:szCs w:val="18"/>
              </w:rPr>
            </w:pPr>
          </w:p>
        </w:tc>
        <w:tc>
          <w:tcPr>
            <w:tcW w:w="788" w:type="dxa"/>
            <w:vMerge/>
            <w:tcBorders>
              <w:top w:val="single" w:sz="4" w:space="0" w:color="000000"/>
              <w:left w:val="single" w:sz="4" w:space="0" w:color="000000"/>
              <w:bottom w:val="single" w:sz="4" w:space="0" w:color="000000"/>
              <w:right w:val="single" w:sz="4" w:space="0" w:color="000000"/>
            </w:tcBorders>
            <w:noWrap/>
            <w:vAlign w:val="center"/>
          </w:tcPr>
          <w:p w14:paraId="4CC19023" w14:textId="77777777" w:rsidR="00F705BE" w:rsidRDefault="00F705BE">
            <w:pPr>
              <w:jc w:val="center"/>
              <w:rPr>
                <w:rFonts w:ascii="Times New Roman" w:eastAsia="宋体" w:hAnsi="Times New Roman" w:cs="Times New Roman"/>
                <w:color w:val="auto"/>
                <w:sz w:val="18"/>
                <w:szCs w:val="18"/>
              </w:rPr>
            </w:pPr>
          </w:p>
        </w:tc>
      </w:tr>
      <w:tr w:rsidR="00F705BE" w14:paraId="56A3E9D2" w14:textId="77777777">
        <w:trPr>
          <w:trHeight w:val="113"/>
          <w:jc w:val="center"/>
        </w:trPr>
        <w:tc>
          <w:tcPr>
            <w:tcW w:w="666" w:type="dxa"/>
            <w:tcBorders>
              <w:top w:val="single" w:sz="4" w:space="0" w:color="000000"/>
              <w:left w:val="single" w:sz="4" w:space="0" w:color="000000"/>
              <w:bottom w:val="single" w:sz="4" w:space="0" w:color="000000"/>
              <w:right w:val="single" w:sz="4" w:space="0" w:color="000000"/>
            </w:tcBorders>
            <w:noWrap/>
            <w:vAlign w:val="center"/>
          </w:tcPr>
          <w:p w14:paraId="3AB74AF5"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hint="eastAsia"/>
                <w:color w:val="auto"/>
                <w:sz w:val="18"/>
                <w:szCs w:val="18"/>
                <w:lang w:eastAsia="zh-CN" w:bidi="ar"/>
              </w:rPr>
              <w:t>3</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24C3749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795BB72A"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1.0481 </w:t>
            </w:r>
          </w:p>
        </w:tc>
        <w:tc>
          <w:tcPr>
            <w:tcW w:w="1215" w:type="dxa"/>
            <w:tcBorders>
              <w:top w:val="single" w:sz="4" w:space="0" w:color="000000"/>
              <w:left w:val="single" w:sz="4" w:space="0" w:color="000000"/>
              <w:bottom w:val="single" w:sz="4" w:space="0" w:color="000000"/>
              <w:right w:val="single" w:sz="4" w:space="0" w:color="000000"/>
            </w:tcBorders>
            <w:noWrap/>
            <w:vAlign w:val="center"/>
          </w:tcPr>
          <w:p w14:paraId="4E8EB3F4"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99.82</w:t>
            </w:r>
          </w:p>
        </w:tc>
        <w:tc>
          <w:tcPr>
            <w:tcW w:w="845" w:type="dxa"/>
            <w:vMerge/>
            <w:tcBorders>
              <w:top w:val="single" w:sz="4" w:space="0" w:color="000000"/>
              <w:left w:val="single" w:sz="4" w:space="0" w:color="000000"/>
              <w:bottom w:val="single" w:sz="4" w:space="0" w:color="000000"/>
              <w:right w:val="single" w:sz="4" w:space="0" w:color="000000"/>
            </w:tcBorders>
            <w:noWrap/>
            <w:vAlign w:val="center"/>
          </w:tcPr>
          <w:p w14:paraId="539A6E7B" w14:textId="77777777" w:rsidR="00F705BE" w:rsidRDefault="00F705BE">
            <w:pPr>
              <w:jc w:val="center"/>
              <w:rPr>
                <w:rFonts w:ascii="Times New Roman" w:eastAsia="宋体" w:hAnsi="Times New Roman" w:cs="Times New Roman"/>
                <w:color w:val="auto"/>
                <w:sz w:val="18"/>
                <w:szCs w:val="18"/>
              </w:rPr>
            </w:pPr>
          </w:p>
        </w:tc>
        <w:tc>
          <w:tcPr>
            <w:tcW w:w="788" w:type="dxa"/>
            <w:vMerge/>
            <w:tcBorders>
              <w:top w:val="single" w:sz="4" w:space="0" w:color="000000"/>
              <w:left w:val="single" w:sz="4" w:space="0" w:color="000000"/>
              <w:bottom w:val="single" w:sz="4" w:space="0" w:color="000000"/>
              <w:right w:val="single" w:sz="4" w:space="0" w:color="000000"/>
            </w:tcBorders>
            <w:noWrap/>
            <w:vAlign w:val="center"/>
          </w:tcPr>
          <w:p w14:paraId="668D5287" w14:textId="77777777" w:rsidR="00F705BE" w:rsidRDefault="00F705BE">
            <w:pPr>
              <w:jc w:val="center"/>
              <w:rPr>
                <w:rFonts w:ascii="Times New Roman" w:eastAsia="宋体" w:hAnsi="Times New Roman" w:cs="Times New Roman"/>
                <w:color w:val="auto"/>
                <w:sz w:val="18"/>
                <w:szCs w:val="18"/>
              </w:rPr>
            </w:pPr>
          </w:p>
        </w:tc>
      </w:tr>
      <w:tr w:rsidR="00F705BE" w14:paraId="7FB2731F" w14:textId="77777777">
        <w:trPr>
          <w:trHeight w:val="113"/>
          <w:jc w:val="center"/>
        </w:trPr>
        <w:tc>
          <w:tcPr>
            <w:tcW w:w="666" w:type="dxa"/>
            <w:tcBorders>
              <w:top w:val="single" w:sz="4" w:space="0" w:color="000000"/>
              <w:left w:val="single" w:sz="4" w:space="0" w:color="000000"/>
              <w:bottom w:val="single" w:sz="4" w:space="0" w:color="000000"/>
              <w:right w:val="single" w:sz="4" w:space="0" w:color="000000"/>
            </w:tcBorders>
            <w:noWrap/>
            <w:vAlign w:val="center"/>
          </w:tcPr>
          <w:p w14:paraId="694E02E4"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hint="eastAsia"/>
                <w:color w:val="auto"/>
                <w:sz w:val="18"/>
                <w:szCs w:val="18"/>
                <w:lang w:eastAsia="zh-CN" w:bidi="ar"/>
              </w:rPr>
              <w:t>4</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70D1CA5A"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3B4CE39E"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1.0515 </w:t>
            </w:r>
          </w:p>
        </w:tc>
        <w:tc>
          <w:tcPr>
            <w:tcW w:w="1215" w:type="dxa"/>
            <w:tcBorders>
              <w:top w:val="single" w:sz="4" w:space="0" w:color="000000"/>
              <w:left w:val="single" w:sz="4" w:space="0" w:color="000000"/>
              <w:bottom w:val="single" w:sz="4" w:space="0" w:color="000000"/>
              <w:right w:val="single" w:sz="4" w:space="0" w:color="000000"/>
            </w:tcBorders>
            <w:noWrap/>
            <w:vAlign w:val="center"/>
          </w:tcPr>
          <w:p w14:paraId="0FC5073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100.14</w:t>
            </w:r>
          </w:p>
        </w:tc>
        <w:tc>
          <w:tcPr>
            <w:tcW w:w="845" w:type="dxa"/>
            <w:vMerge/>
            <w:tcBorders>
              <w:top w:val="single" w:sz="4" w:space="0" w:color="000000"/>
              <w:left w:val="single" w:sz="4" w:space="0" w:color="000000"/>
              <w:bottom w:val="single" w:sz="4" w:space="0" w:color="000000"/>
              <w:right w:val="single" w:sz="4" w:space="0" w:color="000000"/>
            </w:tcBorders>
            <w:noWrap/>
            <w:vAlign w:val="center"/>
          </w:tcPr>
          <w:p w14:paraId="14B32C51" w14:textId="77777777" w:rsidR="00F705BE" w:rsidRDefault="00F705BE">
            <w:pPr>
              <w:jc w:val="center"/>
              <w:rPr>
                <w:rFonts w:ascii="Times New Roman" w:eastAsia="宋体" w:hAnsi="Times New Roman" w:cs="Times New Roman"/>
                <w:color w:val="auto"/>
                <w:sz w:val="18"/>
                <w:szCs w:val="18"/>
              </w:rPr>
            </w:pPr>
          </w:p>
        </w:tc>
        <w:tc>
          <w:tcPr>
            <w:tcW w:w="788" w:type="dxa"/>
            <w:vMerge/>
            <w:tcBorders>
              <w:top w:val="single" w:sz="4" w:space="0" w:color="000000"/>
              <w:left w:val="single" w:sz="4" w:space="0" w:color="000000"/>
              <w:bottom w:val="single" w:sz="4" w:space="0" w:color="000000"/>
              <w:right w:val="single" w:sz="4" w:space="0" w:color="000000"/>
            </w:tcBorders>
            <w:noWrap/>
            <w:vAlign w:val="center"/>
          </w:tcPr>
          <w:p w14:paraId="38B7D6A6" w14:textId="77777777" w:rsidR="00F705BE" w:rsidRDefault="00F705BE">
            <w:pPr>
              <w:jc w:val="center"/>
              <w:rPr>
                <w:rFonts w:ascii="Times New Roman" w:eastAsia="宋体" w:hAnsi="Times New Roman" w:cs="Times New Roman"/>
                <w:color w:val="auto"/>
                <w:sz w:val="18"/>
                <w:szCs w:val="18"/>
              </w:rPr>
            </w:pPr>
          </w:p>
        </w:tc>
      </w:tr>
      <w:tr w:rsidR="00F705BE" w14:paraId="10172BBE" w14:textId="77777777">
        <w:trPr>
          <w:trHeight w:val="113"/>
          <w:jc w:val="center"/>
        </w:trPr>
        <w:tc>
          <w:tcPr>
            <w:tcW w:w="666" w:type="dxa"/>
            <w:tcBorders>
              <w:top w:val="single" w:sz="4" w:space="0" w:color="000000"/>
              <w:left w:val="single" w:sz="4" w:space="0" w:color="000000"/>
              <w:bottom w:val="single" w:sz="4" w:space="0" w:color="000000"/>
              <w:right w:val="single" w:sz="4" w:space="0" w:color="000000"/>
            </w:tcBorders>
            <w:noWrap/>
            <w:vAlign w:val="center"/>
          </w:tcPr>
          <w:p w14:paraId="7BF75DC6"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hint="eastAsia"/>
                <w:color w:val="auto"/>
                <w:sz w:val="18"/>
                <w:szCs w:val="18"/>
                <w:lang w:eastAsia="zh-CN" w:bidi="ar"/>
              </w:rPr>
              <w:t>5</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5BD57C53"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280F5EAF"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1.0157 </w:t>
            </w:r>
          </w:p>
        </w:tc>
        <w:tc>
          <w:tcPr>
            <w:tcW w:w="1215" w:type="dxa"/>
            <w:tcBorders>
              <w:top w:val="single" w:sz="4" w:space="0" w:color="000000"/>
              <w:left w:val="single" w:sz="4" w:space="0" w:color="000000"/>
              <w:bottom w:val="single" w:sz="4" w:space="0" w:color="000000"/>
              <w:right w:val="single" w:sz="4" w:space="0" w:color="000000"/>
            </w:tcBorders>
            <w:noWrap/>
            <w:vAlign w:val="center"/>
          </w:tcPr>
          <w:p w14:paraId="70B033F1"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96.73</w:t>
            </w:r>
          </w:p>
        </w:tc>
        <w:tc>
          <w:tcPr>
            <w:tcW w:w="845" w:type="dxa"/>
            <w:vMerge/>
            <w:tcBorders>
              <w:top w:val="single" w:sz="4" w:space="0" w:color="000000"/>
              <w:left w:val="single" w:sz="4" w:space="0" w:color="000000"/>
              <w:bottom w:val="single" w:sz="4" w:space="0" w:color="000000"/>
              <w:right w:val="single" w:sz="4" w:space="0" w:color="000000"/>
            </w:tcBorders>
            <w:noWrap/>
            <w:vAlign w:val="center"/>
          </w:tcPr>
          <w:p w14:paraId="32C5929F" w14:textId="77777777" w:rsidR="00F705BE" w:rsidRDefault="00F705BE">
            <w:pPr>
              <w:jc w:val="center"/>
              <w:rPr>
                <w:rFonts w:ascii="Times New Roman" w:eastAsia="宋体" w:hAnsi="Times New Roman" w:cs="Times New Roman"/>
                <w:color w:val="auto"/>
                <w:sz w:val="18"/>
                <w:szCs w:val="18"/>
              </w:rPr>
            </w:pPr>
          </w:p>
        </w:tc>
        <w:tc>
          <w:tcPr>
            <w:tcW w:w="788" w:type="dxa"/>
            <w:vMerge/>
            <w:tcBorders>
              <w:top w:val="single" w:sz="4" w:space="0" w:color="000000"/>
              <w:left w:val="single" w:sz="4" w:space="0" w:color="000000"/>
              <w:bottom w:val="single" w:sz="4" w:space="0" w:color="000000"/>
              <w:right w:val="single" w:sz="4" w:space="0" w:color="000000"/>
            </w:tcBorders>
            <w:noWrap/>
            <w:vAlign w:val="center"/>
          </w:tcPr>
          <w:p w14:paraId="6096B128" w14:textId="77777777" w:rsidR="00F705BE" w:rsidRDefault="00F705BE">
            <w:pPr>
              <w:jc w:val="center"/>
              <w:rPr>
                <w:rFonts w:ascii="Times New Roman" w:eastAsia="宋体" w:hAnsi="Times New Roman" w:cs="Times New Roman"/>
                <w:color w:val="auto"/>
                <w:sz w:val="18"/>
                <w:szCs w:val="18"/>
              </w:rPr>
            </w:pPr>
          </w:p>
        </w:tc>
      </w:tr>
      <w:tr w:rsidR="00F705BE" w14:paraId="2312F9AA" w14:textId="77777777">
        <w:trPr>
          <w:trHeight w:val="113"/>
          <w:jc w:val="center"/>
        </w:trPr>
        <w:tc>
          <w:tcPr>
            <w:tcW w:w="666" w:type="dxa"/>
            <w:tcBorders>
              <w:top w:val="single" w:sz="4" w:space="0" w:color="000000"/>
              <w:left w:val="single" w:sz="4" w:space="0" w:color="000000"/>
              <w:bottom w:val="single" w:sz="4" w:space="0" w:color="000000"/>
              <w:right w:val="single" w:sz="4" w:space="0" w:color="000000"/>
            </w:tcBorders>
            <w:noWrap/>
            <w:vAlign w:val="center"/>
          </w:tcPr>
          <w:p w14:paraId="63F5D430"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hint="eastAsia"/>
                <w:color w:val="auto"/>
                <w:sz w:val="18"/>
                <w:szCs w:val="18"/>
                <w:lang w:eastAsia="zh-CN" w:bidi="ar"/>
              </w:rPr>
              <w:t>6</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68DA302B"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hint="eastAsia"/>
                <w:color w:val="auto"/>
                <w:sz w:val="18"/>
                <w:szCs w:val="18"/>
                <w:lang w:eastAsia="zh-CN" w:bidi="ar"/>
              </w:rPr>
              <w:t>1.05</w:t>
            </w:r>
          </w:p>
        </w:tc>
        <w:tc>
          <w:tcPr>
            <w:tcW w:w="1213" w:type="dxa"/>
            <w:tcBorders>
              <w:top w:val="single" w:sz="4" w:space="0" w:color="000000"/>
              <w:left w:val="single" w:sz="4" w:space="0" w:color="000000"/>
              <w:bottom w:val="single" w:sz="4" w:space="0" w:color="000000"/>
              <w:right w:val="single" w:sz="4" w:space="0" w:color="000000"/>
            </w:tcBorders>
            <w:noWrap/>
            <w:vAlign w:val="center"/>
          </w:tcPr>
          <w:p w14:paraId="1576CFB2"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 xml:space="preserve">1.0493 </w:t>
            </w:r>
          </w:p>
        </w:tc>
        <w:tc>
          <w:tcPr>
            <w:tcW w:w="1215" w:type="dxa"/>
            <w:tcBorders>
              <w:top w:val="single" w:sz="4" w:space="0" w:color="000000"/>
              <w:left w:val="single" w:sz="4" w:space="0" w:color="000000"/>
              <w:bottom w:val="single" w:sz="4" w:space="0" w:color="000000"/>
              <w:right w:val="single" w:sz="4" w:space="0" w:color="000000"/>
            </w:tcBorders>
            <w:noWrap/>
            <w:vAlign w:val="center"/>
          </w:tcPr>
          <w:p w14:paraId="0A0A8CA0" w14:textId="77777777" w:rsidR="00F705BE" w:rsidRDefault="00000000">
            <w:pPr>
              <w:jc w:val="center"/>
              <w:textAlignment w:val="center"/>
              <w:rPr>
                <w:rFonts w:ascii="Times New Roman" w:eastAsia="宋体" w:hAnsi="Times New Roman" w:cs="Times New Roman"/>
                <w:color w:val="auto"/>
                <w:sz w:val="18"/>
                <w:szCs w:val="18"/>
              </w:rPr>
            </w:pPr>
            <w:r>
              <w:rPr>
                <w:rFonts w:ascii="Times New Roman" w:eastAsia="宋体" w:hAnsi="Times New Roman" w:cs="Times New Roman"/>
                <w:color w:val="auto"/>
                <w:sz w:val="18"/>
                <w:szCs w:val="18"/>
                <w:lang w:eastAsia="zh-CN" w:bidi="ar"/>
              </w:rPr>
              <w:t>99.94</w:t>
            </w:r>
          </w:p>
        </w:tc>
        <w:tc>
          <w:tcPr>
            <w:tcW w:w="845" w:type="dxa"/>
            <w:vMerge/>
            <w:tcBorders>
              <w:top w:val="single" w:sz="4" w:space="0" w:color="000000"/>
              <w:left w:val="single" w:sz="4" w:space="0" w:color="000000"/>
              <w:bottom w:val="single" w:sz="4" w:space="0" w:color="000000"/>
              <w:right w:val="single" w:sz="4" w:space="0" w:color="000000"/>
            </w:tcBorders>
            <w:noWrap/>
            <w:vAlign w:val="center"/>
          </w:tcPr>
          <w:p w14:paraId="51C18900" w14:textId="77777777" w:rsidR="00F705BE" w:rsidRDefault="00F705BE">
            <w:pPr>
              <w:jc w:val="center"/>
              <w:rPr>
                <w:rFonts w:ascii="Times New Roman" w:eastAsia="宋体" w:hAnsi="Times New Roman" w:cs="Times New Roman"/>
                <w:color w:val="auto"/>
                <w:sz w:val="18"/>
                <w:szCs w:val="18"/>
              </w:rPr>
            </w:pPr>
          </w:p>
        </w:tc>
        <w:tc>
          <w:tcPr>
            <w:tcW w:w="788" w:type="dxa"/>
            <w:vMerge/>
            <w:tcBorders>
              <w:top w:val="single" w:sz="4" w:space="0" w:color="000000"/>
              <w:left w:val="single" w:sz="4" w:space="0" w:color="000000"/>
              <w:bottom w:val="single" w:sz="4" w:space="0" w:color="000000"/>
              <w:right w:val="single" w:sz="4" w:space="0" w:color="000000"/>
            </w:tcBorders>
            <w:noWrap/>
            <w:vAlign w:val="center"/>
          </w:tcPr>
          <w:p w14:paraId="08B1ABA8" w14:textId="77777777" w:rsidR="00F705BE" w:rsidRDefault="00F705BE">
            <w:pPr>
              <w:jc w:val="center"/>
              <w:rPr>
                <w:rFonts w:ascii="Times New Roman" w:eastAsia="宋体" w:hAnsi="Times New Roman" w:cs="Times New Roman"/>
                <w:color w:val="auto"/>
                <w:sz w:val="18"/>
                <w:szCs w:val="18"/>
              </w:rPr>
            </w:pPr>
          </w:p>
        </w:tc>
      </w:tr>
    </w:tbl>
    <w:p w14:paraId="2A00B9FD" w14:textId="77777777" w:rsidR="00F705BE" w:rsidRDefault="00F705BE">
      <w:pPr>
        <w:spacing w:line="345" w:lineRule="auto"/>
        <w:rPr>
          <w:rFonts w:ascii="宋体" w:eastAsia="宋体" w:hAnsi="宋体" w:cs="宋体" w:hint="eastAsia"/>
          <w:lang w:eastAsia="zh-CN"/>
        </w:rPr>
      </w:pPr>
    </w:p>
    <w:p w14:paraId="78EBE078" w14:textId="77777777" w:rsidR="00F705BE" w:rsidRDefault="00000000">
      <w:pPr>
        <w:pStyle w:val="a5"/>
        <w:spacing w:line="360" w:lineRule="auto"/>
        <w:jc w:val="both"/>
        <w:rPr>
          <w:rFonts w:ascii="Times New Roman" w:hAnsi="Times New Roman" w:cs="Times New Roman"/>
          <w:lang w:eastAsia="zh-CN"/>
        </w:rPr>
      </w:pPr>
      <w:r>
        <w:rPr>
          <w:rFonts w:hint="eastAsia"/>
          <w:color w:val="auto"/>
          <w:spacing w:val="-3"/>
          <w:lang w:eastAsia="zh-CN"/>
        </w:rPr>
        <w:t>3.3 实际样品测定</w:t>
      </w:r>
    </w:p>
    <w:p w14:paraId="0C0F5954" w14:textId="77777777" w:rsidR="00F705BE" w:rsidRDefault="00000000">
      <w:pPr>
        <w:pStyle w:val="a5"/>
        <w:spacing w:line="360" w:lineRule="auto"/>
        <w:ind w:firstLineChars="200" w:firstLine="420"/>
        <w:jc w:val="both"/>
        <w:rPr>
          <w:rFonts w:ascii="Times New Roman" w:hAnsi="Times New Roman" w:cs="Times New Roman"/>
          <w:lang w:eastAsia="zh-CN"/>
        </w:rPr>
      </w:pPr>
      <w:r>
        <w:rPr>
          <w:rFonts w:ascii="Times New Roman" w:hAnsi="Times New Roman" w:cs="Times New Roman" w:hint="eastAsia"/>
          <w:lang w:eastAsia="zh-CN"/>
        </w:rPr>
        <w:t>为掌握二牛脂基二甲基氯化铵在我国洗涤用品中的实际应用现状，本次试验共选取</w:t>
      </w:r>
      <w:r>
        <w:rPr>
          <w:rFonts w:ascii="Times New Roman" w:hAnsi="Times New Roman" w:cs="Times New Roman" w:hint="eastAsia"/>
          <w:lang w:eastAsia="zh-CN"/>
        </w:rPr>
        <w:t>8</w:t>
      </w:r>
      <w:r>
        <w:rPr>
          <w:rFonts w:ascii="Times New Roman" w:hAnsi="Times New Roman" w:cs="Times New Roman" w:hint="eastAsia"/>
          <w:lang w:eastAsia="zh-CN"/>
        </w:rPr>
        <w:t>类市售样品进行检测，样品信息及检测结果详见表</w:t>
      </w:r>
      <w:r>
        <w:rPr>
          <w:rFonts w:ascii="Times New Roman" w:hAnsi="Times New Roman" w:cs="Times New Roman" w:hint="eastAsia"/>
          <w:lang w:eastAsia="zh-CN"/>
        </w:rPr>
        <w:t>6</w:t>
      </w:r>
      <w:r>
        <w:rPr>
          <w:rFonts w:ascii="Times New Roman" w:hAnsi="Times New Roman" w:cs="Times New Roman" w:hint="eastAsia"/>
          <w:lang w:eastAsia="zh-CN"/>
        </w:rPr>
        <w:t>。在受检样品中，仅金纺柔顺剂、薰衣草洁净熏香洗衣粉及碧浪洗衣凝珠检出微量目标成分，但含量均低于定量限，产品均符合《洗涤用品安全技术规范》要求。</w:t>
      </w:r>
    </w:p>
    <w:p w14:paraId="43E29733" w14:textId="77777777" w:rsidR="00F705BE" w:rsidRDefault="00000000">
      <w:pPr>
        <w:pStyle w:val="a5"/>
        <w:spacing w:line="360" w:lineRule="auto"/>
        <w:jc w:val="center"/>
        <w:rPr>
          <w:rFonts w:ascii="Times New Roman" w:hAnsi="Times New Roman" w:cs="Times New Roman"/>
          <w:lang w:eastAsia="zh-CN"/>
        </w:rPr>
      </w:pPr>
      <w:r>
        <w:rPr>
          <w:rFonts w:ascii="Times New Roman" w:hAnsi="Times New Roman" w:cs="Times New Roman"/>
          <w:lang w:eastAsia="zh-CN"/>
        </w:rPr>
        <w:t>表</w:t>
      </w:r>
      <w:r>
        <w:rPr>
          <w:rFonts w:ascii="Times New Roman" w:hAnsi="Times New Roman" w:cs="Times New Roman" w:hint="eastAsia"/>
          <w:lang w:eastAsia="zh-CN"/>
        </w:rPr>
        <w:t xml:space="preserve">6 </w:t>
      </w:r>
      <w:r>
        <w:rPr>
          <w:rFonts w:ascii="Times New Roman" w:hAnsi="Times New Roman" w:cs="Times New Roman" w:hint="eastAsia"/>
          <w:lang w:eastAsia="zh-CN"/>
        </w:rPr>
        <w:t>样品信息及检测结果</w:t>
      </w:r>
    </w:p>
    <w:tbl>
      <w:tblPr>
        <w:tblStyle w:val="a6"/>
        <w:tblW w:w="0" w:type="auto"/>
        <w:jc w:val="center"/>
        <w:tblLook w:val="04A0" w:firstRow="1" w:lastRow="0" w:firstColumn="1" w:lastColumn="0" w:noHBand="0" w:noVBand="1"/>
      </w:tblPr>
      <w:tblGrid>
        <w:gridCol w:w="1536"/>
        <w:gridCol w:w="2243"/>
        <w:gridCol w:w="2141"/>
      </w:tblGrid>
      <w:tr w:rsidR="00F705BE" w14:paraId="37B8CFB1" w14:textId="77777777">
        <w:trPr>
          <w:jc w:val="center"/>
        </w:trPr>
        <w:tc>
          <w:tcPr>
            <w:tcW w:w="1536" w:type="dxa"/>
            <w:vAlign w:val="center"/>
          </w:tcPr>
          <w:p w14:paraId="66CF5565"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样品类型</w:t>
            </w:r>
          </w:p>
        </w:tc>
        <w:tc>
          <w:tcPr>
            <w:tcW w:w="2243" w:type="dxa"/>
            <w:vAlign w:val="center"/>
          </w:tcPr>
          <w:p w14:paraId="3B0BE3AD"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商品名称</w:t>
            </w:r>
          </w:p>
        </w:tc>
        <w:tc>
          <w:tcPr>
            <w:tcW w:w="2141" w:type="dxa"/>
            <w:vAlign w:val="center"/>
          </w:tcPr>
          <w:p w14:paraId="522A3179"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二</w:t>
            </w:r>
            <w:r>
              <w:rPr>
                <w:rFonts w:ascii="Times New Roman" w:eastAsia="宋体" w:hAnsi="Times New Roman" w:cs="Times New Roman" w:hint="eastAsia"/>
                <w:color w:val="auto"/>
                <w:sz w:val="18"/>
                <w:szCs w:val="18"/>
                <w:lang w:eastAsia="zh-CN" w:bidi="ar"/>
              </w:rPr>
              <w:t>牛</w:t>
            </w:r>
            <w:r>
              <w:rPr>
                <w:rFonts w:ascii="Times New Roman" w:eastAsia="宋体" w:hAnsi="Times New Roman" w:cs="Times New Roman"/>
                <w:color w:val="auto"/>
                <w:sz w:val="18"/>
                <w:szCs w:val="18"/>
                <w:lang w:eastAsia="zh-CN" w:bidi="ar"/>
              </w:rPr>
              <w:t>脂基二甲基氯化铵检测结果</w:t>
            </w:r>
          </w:p>
        </w:tc>
      </w:tr>
      <w:tr w:rsidR="00F705BE" w14:paraId="7847B730" w14:textId="77777777">
        <w:trPr>
          <w:jc w:val="center"/>
        </w:trPr>
        <w:tc>
          <w:tcPr>
            <w:tcW w:w="1536" w:type="dxa"/>
            <w:vMerge w:val="restart"/>
            <w:vAlign w:val="center"/>
          </w:tcPr>
          <w:p w14:paraId="48047FE2"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液体样品</w:t>
            </w:r>
          </w:p>
        </w:tc>
        <w:tc>
          <w:tcPr>
            <w:tcW w:w="2243" w:type="dxa"/>
            <w:vAlign w:val="center"/>
          </w:tcPr>
          <w:p w14:paraId="6FAADEFC"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金纺</w:t>
            </w:r>
            <w:r>
              <w:rPr>
                <w:rFonts w:ascii="Times New Roman" w:eastAsia="宋体" w:hAnsi="Times New Roman" w:cs="Times New Roman" w:hint="eastAsia"/>
                <w:color w:val="auto"/>
                <w:sz w:val="18"/>
                <w:szCs w:val="18"/>
                <w:lang w:eastAsia="zh-CN" w:bidi="ar"/>
              </w:rPr>
              <w:t>薰衣草</w:t>
            </w:r>
            <w:r>
              <w:rPr>
                <w:rFonts w:ascii="Times New Roman" w:eastAsia="宋体" w:hAnsi="Times New Roman" w:cs="Times New Roman"/>
                <w:color w:val="auto"/>
                <w:sz w:val="18"/>
                <w:szCs w:val="18"/>
                <w:lang w:eastAsia="zh-CN" w:bidi="ar"/>
              </w:rPr>
              <w:t>柔顺剂</w:t>
            </w:r>
          </w:p>
        </w:tc>
        <w:tc>
          <w:tcPr>
            <w:tcW w:w="2141" w:type="dxa"/>
            <w:vAlign w:val="center"/>
          </w:tcPr>
          <w:p w14:paraId="09395A3E"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未检出</w:t>
            </w:r>
          </w:p>
        </w:tc>
      </w:tr>
      <w:tr w:rsidR="00F705BE" w14:paraId="038B75C7" w14:textId="77777777">
        <w:trPr>
          <w:jc w:val="center"/>
        </w:trPr>
        <w:tc>
          <w:tcPr>
            <w:tcW w:w="1536" w:type="dxa"/>
            <w:vMerge/>
            <w:vAlign w:val="center"/>
          </w:tcPr>
          <w:p w14:paraId="724BB541" w14:textId="77777777" w:rsidR="00F705BE" w:rsidRDefault="00F705BE">
            <w:pPr>
              <w:jc w:val="center"/>
              <w:textAlignment w:val="center"/>
              <w:rPr>
                <w:rFonts w:ascii="Times New Roman" w:eastAsia="宋体" w:hAnsi="Times New Roman" w:cs="Times New Roman"/>
                <w:color w:val="auto"/>
                <w:sz w:val="18"/>
                <w:szCs w:val="18"/>
                <w:lang w:eastAsia="zh-CN" w:bidi="ar"/>
              </w:rPr>
            </w:pPr>
          </w:p>
        </w:tc>
        <w:tc>
          <w:tcPr>
            <w:tcW w:w="2243" w:type="dxa"/>
            <w:vAlign w:val="center"/>
          </w:tcPr>
          <w:p w14:paraId="5D757287"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立白大师香氛</w:t>
            </w:r>
            <w:r>
              <w:rPr>
                <w:rFonts w:ascii="Times New Roman" w:eastAsia="宋体" w:hAnsi="Times New Roman" w:cs="Times New Roman" w:hint="eastAsia"/>
                <w:color w:val="auto"/>
                <w:sz w:val="18"/>
                <w:szCs w:val="18"/>
                <w:lang w:eastAsia="zh-CN" w:bidi="ar"/>
              </w:rPr>
              <w:t>柔顺剂</w:t>
            </w:r>
          </w:p>
        </w:tc>
        <w:tc>
          <w:tcPr>
            <w:tcW w:w="2141" w:type="dxa"/>
            <w:vAlign w:val="center"/>
          </w:tcPr>
          <w:p w14:paraId="7DB77EE1"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未检出</w:t>
            </w:r>
          </w:p>
        </w:tc>
      </w:tr>
      <w:tr w:rsidR="00F705BE" w14:paraId="279F04A3" w14:textId="77777777">
        <w:trPr>
          <w:jc w:val="center"/>
        </w:trPr>
        <w:tc>
          <w:tcPr>
            <w:tcW w:w="1536" w:type="dxa"/>
            <w:vMerge/>
            <w:vAlign w:val="center"/>
          </w:tcPr>
          <w:p w14:paraId="18320679" w14:textId="77777777" w:rsidR="00F705BE" w:rsidRDefault="00F705BE">
            <w:pPr>
              <w:jc w:val="center"/>
              <w:textAlignment w:val="center"/>
              <w:rPr>
                <w:rFonts w:ascii="Times New Roman" w:eastAsia="宋体" w:hAnsi="Times New Roman" w:cs="Times New Roman"/>
                <w:color w:val="auto"/>
                <w:sz w:val="18"/>
                <w:szCs w:val="18"/>
                <w:lang w:eastAsia="zh-CN" w:bidi="ar"/>
              </w:rPr>
            </w:pPr>
          </w:p>
        </w:tc>
        <w:tc>
          <w:tcPr>
            <w:tcW w:w="2243" w:type="dxa"/>
            <w:vAlign w:val="center"/>
          </w:tcPr>
          <w:p w14:paraId="522F05C1"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日管家</w:t>
            </w:r>
            <w:r>
              <w:rPr>
                <w:rFonts w:ascii="Times New Roman" w:eastAsia="宋体" w:hAnsi="Times New Roman" w:cs="Times New Roman" w:hint="eastAsia"/>
                <w:color w:val="auto"/>
                <w:sz w:val="18"/>
                <w:szCs w:val="18"/>
                <w:lang w:eastAsia="zh-CN" w:bidi="ar"/>
              </w:rPr>
              <w:t>柔顺剂</w:t>
            </w:r>
          </w:p>
        </w:tc>
        <w:tc>
          <w:tcPr>
            <w:tcW w:w="2141" w:type="dxa"/>
            <w:vAlign w:val="center"/>
          </w:tcPr>
          <w:p w14:paraId="70FCA6FC"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未检出</w:t>
            </w:r>
          </w:p>
        </w:tc>
      </w:tr>
      <w:tr w:rsidR="00F705BE" w14:paraId="0962D2F4" w14:textId="77777777">
        <w:trPr>
          <w:jc w:val="center"/>
        </w:trPr>
        <w:tc>
          <w:tcPr>
            <w:tcW w:w="1536" w:type="dxa"/>
            <w:vMerge/>
            <w:vAlign w:val="center"/>
          </w:tcPr>
          <w:p w14:paraId="1A81BB0E" w14:textId="77777777" w:rsidR="00F705BE" w:rsidRDefault="00F705BE">
            <w:pPr>
              <w:jc w:val="center"/>
              <w:textAlignment w:val="center"/>
              <w:rPr>
                <w:rFonts w:ascii="Times New Roman" w:eastAsia="宋体" w:hAnsi="Times New Roman" w:cs="Times New Roman"/>
                <w:color w:val="auto"/>
                <w:sz w:val="18"/>
                <w:szCs w:val="18"/>
                <w:lang w:eastAsia="zh-CN" w:bidi="ar"/>
              </w:rPr>
            </w:pPr>
          </w:p>
        </w:tc>
        <w:tc>
          <w:tcPr>
            <w:tcW w:w="2243" w:type="dxa"/>
            <w:vAlign w:val="center"/>
          </w:tcPr>
          <w:p w14:paraId="7DF1D9C1"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蓝月亮</w:t>
            </w:r>
            <w:r>
              <w:rPr>
                <w:rFonts w:ascii="Times New Roman" w:eastAsia="宋体" w:hAnsi="Times New Roman" w:cs="Times New Roman" w:hint="eastAsia"/>
                <w:color w:val="auto"/>
                <w:sz w:val="18"/>
                <w:szCs w:val="18"/>
                <w:lang w:eastAsia="zh-CN" w:bidi="ar"/>
              </w:rPr>
              <w:t>柔顺剂</w:t>
            </w:r>
          </w:p>
        </w:tc>
        <w:tc>
          <w:tcPr>
            <w:tcW w:w="2141" w:type="dxa"/>
            <w:vAlign w:val="center"/>
          </w:tcPr>
          <w:p w14:paraId="423BC0DE"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未检出</w:t>
            </w:r>
          </w:p>
        </w:tc>
      </w:tr>
      <w:tr w:rsidR="00F705BE" w14:paraId="5AEEAEEC" w14:textId="77777777">
        <w:trPr>
          <w:jc w:val="center"/>
        </w:trPr>
        <w:tc>
          <w:tcPr>
            <w:tcW w:w="1536" w:type="dxa"/>
            <w:vMerge w:val="restart"/>
            <w:vAlign w:val="center"/>
          </w:tcPr>
          <w:p w14:paraId="2F438700"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固体样品</w:t>
            </w:r>
          </w:p>
        </w:tc>
        <w:tc>
          <w:tcPr>
            <w:tcW w:w="2243" w:type="dxa"/>
            <w:vAlign w:val="center"/>
          </w:tcPr>
          <w:p w14:paraId="4C9ED2DB"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薰衣草洁净熏香洗衣粉</w:t>
            </w:r>
          </w:p>
        </w:tc>
        <w:tc>
          <w:tcPr>
            <w:tcW w:w="2141" w:type="dxa"/>
            <w:vAlign w:val="center"/>
          </w:tcPr>
          <w:p w14:paraId="040BFCD2"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未检出</w:t>
            </w:r>
          </w:p>
        </w:tc>
      </w:tr>
      <w:tr w:rsidR="00F705BE" w14:paraId="1584EC2D" w14:textId="77777777">
        <w:trPr>
          <w:jc w:val="center"/>
        </w:trPr>
        <w:tc>
          <w:tcPr>
            <w:tcW w:w="1536" w:type="dxa"/>
            <w:vMerge/>
            <w:vAlign w:val="center"/>
          </w:tcPr>
          <w:p w14:paraId="11B97B23" w14:textId="77777777" w:rsidR="00F705BE" w:rsidRDefault="00F705BE">
            <w:pPr>
              <w:jc w:val="center"/>
              <w:textAlignment w:val="center"/>
              <w:rPr>
                <w:rFonts w:ascii="Times New Roman" w:eastAsia="宋体" w:hAnsi="Times New Roman" w:cs="Times New Roman"/>
                <w:color w:val="auto"/>
                <w:sz w:val="18"/>
                <w:szCs w:val="18"/>
                <w:lang w:eastAsia="zh-CN" w:bidi="ar"/>
              </w:rPr>
            </w:pPr>
          </w:p>
        </w:tc>
        <w:tc>
          <w:tcPr>
            <w:tcW w:w="2243" w:type="dxa"/>
            <w:vAlign w:val="center"/>
          </w:tcPr>
          <w:p w14:paraId="13B5BAAB"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hint="eastAsia"/>
                <w:color w:val="auto"/>
                <w:sz w:val="18"/>
                <w:szCs w:val="18"/>
                <w:lang w:eastAsia="zh-CN" w:bidi="ar"/>
              </w:rPr>
              <w:t>奇强</w:t>
            </w:r>
            <w:r>
              <w:rPr>
                <w:rFonts w:ascii="Times New Roman" w:eastAsia="宋体" w:hAnsi="Times New Roman" w:cs="Times New Roman"/>
                <w:color w:val="auto"/>
                <w:sz w:val="18"/>
                <w:szCs w:val="18"/>
                <w:lang w:eastAsia="zh-CN" w:bidi="ar"/>
              </w:rPr>
              <w:t>洗衣粉</w:t>
            </w:r>
          </w:p>
        </w:tc>
        <w:tc>
          <w:tcPr>
            <w:tcW w:w="2141" w:type="dxa"/>
            <w:vAlign w:val="center"/>
          </w:tcPr>
          <w:p w14:paraId="3DC6FA81"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未检出</w:t>
            </w:r>
          </w:p>
        </w:tc>
      </w:tr>
      <w:tr w:rsidR="00F705BE" w14:paraId="6D8BCAB2" w14:textId="77777777">
        <w:trPr>
          <w:jc w:val="center"/>
        </w:trPr>
        <w:tc>
          <w:tcPr>
            <w:tcW w:w="1536" w:type="dxa"/>
            <w:vAlign w:val="center"/>
          </w:tcPr>
          <w:p w14:paraId="27652E80"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洗衣凝珠</w:t>
            </w:r>
          </w:p>
        </w:tc>
        <w:tc>
          <w:tcPr>
            <w:tcW w:w="2243" w:type="dxa"/>
            <w:vAlign w:val="center"/>
          </w:tcPr>
          <w:p w14:paraId="6FB5A828"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蔬果园</w:t>
            </w:r>
            <w:r>
              <w:rPr>
                <w:rFonts w:ascii="Times New Roman" w:eastAsia="宋体" w:hAnsi="Times New Roman" w:cs="Times New Roman"/>
                <w:color w:val="auto"/>
                <w:sz w:val="18"/>
                <w:szCs w:val="18"/>
                <w:lang w:eastAsia="zh-CN" w:bidi="ar"/>
              </w:rPr>
              <w:t>·</w:t>
            </w:r>
            <w:r>
              <w:rPr>
                <w:rFonts w:ascii="Times New Roman" w:eastAsia="宋体" w:hAnsi="Times New Roman" w:cs="Times New Roman" w:hint="eastAsia"/>
                <w:color w:val="auto"/>
                <w:sz w:val="18"/>
                <w:szCs w:val="18"/>
                <w:lang w:eastAsia="zh-CN" w:bidi="ar"/>
              </w:rPr>
              <w:t>3D</w:t>
            </w:r>
            <w:r>
              <w:rPr>
                <w:rFonts w:ascii="Times New Roman" w:eastAsia="宋体" w:hAnsi="Times New Roman" w:cs="Times New Roman" w:hint="eastAsia"/>
                <w:color w:val="auto"/>
                <w:sz w:val="18"/>
                <w:szCs w:val="18"/>
                <w:lang w:eastAsia="zh-CN" w:bidi="ar"/>
              </w:rPr>
              <w:t>炫彩护色香氛洗衣凝珠（浓缩强效型）</w:t>
            </w:r>
          </w:p>
        </w:tc>
        <w:tc>
          <w:tcPr>
            <w:tcW w:w="2141" w:type="dxa"/>
            <w:vAlign w:val="center"/>
          </w:tcPr>
          <w:p w14:paraId="2701078F" w14:textId="77777777" w:rsidR="00F705BE" w:rsidRDefault="00000000">
            <w:pPr>
              <w:jc w:val="center"/>
              <w:textAlignment w:val="center"/>
              <w:rPr>
                <w:rFonts w:ascii="Times New Roman" w:eastAsia="宋体" w:hAnsi="Times New Roman" w:cs="Times New Roman"/>
                <w:color w:val="auto"/>
                <w:sz w:val="18"/>
                <w:szCs w:val="18"/>
                <w:lang w:eastAsia="zh-CN" w:bidi="ar"/>
              </w:rPr>
            </w:pPr>
            <w:r>
              <w:rPr>
                <w:rFonts w:ascii="Times New Roman" w:eastAsia="宋体" w:hAnsi="Times New Roman" w:cs="Times New Roman"/>
                <w:color w:val="auto"/>
                <w:sz w:val="18"/>
                <w:szCs w:val="18"/>
                <w:lang w:eastAsia="zh-CN" w:bidi="ar"/>
              </w:rPr>
              <w:t>未检出</w:t>
            </w:r>
          </w:p>
        </w:tc>
      </w:tr>
    </w:tbl>
    <w:p w14:paraId="26EBEF06" w14:textId="77777777" w:rsidR="00F705BE" w:rsidRDefault="00F705BE">
      <w:pPr>
        <w:spacing w:line="399" w:lineRule="auto"/>
      </w:pPr>
    </w:p>
    <w:p w14:paraId="443D836F" w14:textId="77777777" w:rsidR="00F705BE" w:rsidRDefault="00000000">
      <w:pPr>
        <w:pStyle w:val="a5"/>
        <w:spacing w:line="360" w:lineRule="auto"/>
        <w:outlineLvl w:val="1"/>
        <w:rPr>
          <w:rFonts w:hint="eastAsia"/>
          <w:sz w:val="24"/>
          <w:szCs w:val="24"/>
          <w:lang w:eastAsia="zh-CN"/>
        </w:rPr>
      </w:pPr>
      <w:r>
        <w:rPr>
          <w:b/>
          <w:bCs/>
          <w:spacing w:val="-4"/>
          <w:sz w:val="24"/>
          <w:szCs w:val="24"/>
          <w:lang w:eastAsia="zh-CN"/>
        </w:rPr>
        <w:t>四、标准中涉及专利和知识产权说明</w:t>
      </w:r>
    </w:p>
    <w:p w14:paraId="06E81364" w14:textId="77777777" w:rsidR="00F705BE" w:rsidRDefault="00000000">
      <w:pPr>
        <w:pStyle w:val="a5"/>
        <w:spacing w:line="360" w:lineRule="auto"/>
        <w:ind w:firstLineChars="200" w:firstLine="472"/>
        <w:rPr>
          <w:rFonts w:ascii="Arial" w:hint="eastAsia"/>
          <w:lang w:eastAsia="zh-CN"/>
        </w:rPr>
      </w:pPr>
      <w:r>
        <w:rPr>
          <w:spacing w:val="-4"/>
          <w:sz w:val="24"/>
          <w:szCs w:val="24"/>
          <w:lang w:eastAsia="zh-CN"/>
        </w:rPr>
        <w:t>该标准内容不涉及专利。</w:t>
      </w:r>
    </w:p>
    <w:p w14:paraId="103CA38B" w14:textId="77777777" w:rsidR="00F705BE" w:rsidRDefault="00000000">
      <w:pPr>
        <w:pStyle w:val="a5"/>
        <w:spacing w:line="360" w:lineRule="auto"/>
        <w:outlineLvl w:val="1"/>
        <w:rPr>
          <w:rFonts w:hint="eastAsia"/>
          <w:lang w:eastAsia="zh-CN"/>
        </w:rPr>
      </w:pPr>
      <w:r>
        <w:rPr>
          <w:b/>
          <w:bCs/>
          <w:spacing w:val="-10"/>
          <w:sz w:val="24"/>
          <w:szCs w:val="24"/>
          <w:lang w:eastAsia="zh-CN"/>
        </w:rPr>
        <w:t>五、预期达到的社会效益、对产业发展的作用等情况</w:t>
      </w:r>
    </w:p>
    <w:p w14:paraId="015AD887" w14:textId="77777777" w:rsidR="00F705BE" w:rsidRDefault="00000000">
      <w:pPr>
        <w:spacing w:line="403" w:lineRule="auto"/>
        <w:ind w:firstLineChars="200" w:firstLine="420"/>
        <w:rPr>
          <w:lang w:eastAsia="zh-CN"/>
        </w:rPr>
      </w:pPr>
      <w:r>
        <w:rPr>
          <w:rFonts w:hint="eastAsia"/>
          <w:lang w:eastAsia="zh-CN"/>
        </w:rPr>
        <w:t>《洗涤用品安全技术规范》（以下简称《规范》）作为强制性国家标准即将颁布实施，该标准将成为洗涤用品行业的基础性安全规范。《规范》附录明确规定二牛脂基二甲基氯化铵的含量不得超过0.1%，然而目前配套的检测方法标准尚未建立。</w:t>
      </w:r>
    </w:p>
    <w:p w14:paraId="15315C08" w14:textId="77777777" w:rsidR="00F705BE" w:rsidRDefault="00000000">
      <w:pPr>
        <w:spacing w:line="403" w:lineRule="auto"/>
        <w:ind w:firstLineChars="200" w:firstLine="420"/>
        <w:rPr>
          <w:lang w:eastAsia="zh-CN"/>
        </w:rPr>
      </w:pPr>
      <w:r>
        <w:rPr>
          <w:rFonts w:hint="eastAsia"/>
          <w:lang w:eastAsia="zh-CN"/>
        </w:rPr>
        <w:t>本标准的制定将为《规范》的有效实施提供监管依据，以确保对二牛脂基二甲基氯化铵物质含量的准确监测，同时填补配套检测方法的空白。该标准的实施预计将产生显著社会效益：一方面，可为政府监管部门提供科学、统一、规范的检测依据，强化对洗涤用品中有害物质残留的风险管控，保障消费者使用安全，降低生态环境风险；另一方面，能够引导并规范生产企业严格遵守《规范》要求，提升生产工艺与质量控制水平，推动洗涤用品行业向更安全、环保、高效方向转型升级，增强产品市场竞争力。</w:t>
      </w:r>
      <w:r>
        <w:rPr>
          <w:rFonts w:hint="eastAsia"/>
          <w:lang w:eastAsia="zh-CN"/>
        </w:rPr>
        <w:lastRenderedPageBreak/>
        <w:t>从长远发展来看，标准的实施有助于提升行业整体技术门槛，促进技术创新与产品升级，为行业的健康可持续发展奠定更为坚实的基础。</w:t>
      </w:r>
    </w:p>
    <w:p w14:paraId="21A46019" w14:textId="77777777" w:rsidR="00F705BE" w:rsidRDefault="00000000">
      <w:pPr>
        <w:pStyle w:val="a5"/>
        <w:spacing w:before="78" w:line="294" w:lineRule="auto"/>
        <w:ind w:left="20" w:right="87"/>
        <w:outlineLvl w:val="1"/>
        <w:rPr>
          <w:rFonts w:hint="eastAsia"/>
          <w:b/>
          <w:bCs/>
          <w:spacing w:val="-5"/>
          <w:sz w:val="24"/>
          <w:szCs w:val="24"/>
          <w:lang w:eastAsia="zh-CN"/>
        </w:rPr>
      </w:pPr>
      <w:r>
        <w:rPr>
          <w:b/>
          <w:bCs/>
          <w:spacing w:val="-5"/>
          <w:sz w:val="24"/>
          <w:szCs w:val="24"/>
          <w:lang w:eastAsia="zh-CN"/>
        </w:rPr>
        <w:t>六、</w:t>
      </w:r>
      <w:r>
        <w:rPr>
          <w:rFonts w:hint="eastAsia"/>
          <w:b/>
          <w:bCs/>
          <w:spacing w:val="-5"/>
          <w:sz w:val="24"/>
          <w:szCs w:val="24"/>
          <w:lang w:eastAsia="zh-CN"/>
        </w:rPr>
        <w:t>与国际、国外</w:t>
      </w:r>
      <w:r>
        <w:rPr>
          <w:b/>
          <w:bCs/>
          <w:spacing w:val="-5"/>
          <w:sz w:val="24"/>
          <w:szCs w:val="24"/>
          <w:lang w:eastAsia="zh-CN"/>
        </w:rPr>
        <w:t>对比情况</w:t>
      </w:r>
    </w:p>
    <w:p w14:paraId="3A075F1C" w14:textId="77777777" w:rsidR="00F705BE" w:rsidRDefault="00000000">
      <w:pPr>
        <w:spacing w:beforeLines="50" w:before="120" w:line="360" w:lineRule="auto"/>
        <w:ind w:firstLineChars="200" w:firstLine="414"/>
        <w:rPr>
          <w:rFonts w:ascii="宋体" w:eastAsia="宋体" w:hAnsi="宋体" w:cs="宋体" w:hint="eastAsia"/>
          <w:spacing w:val="-3"/>
          <w:lang w:eastAsia="zh-CN"/>
        </w:rPr>
      </w:pPr>
      <w:r>
        <w:rPr>
          <w:rFonts w:ascii="宋体" w:eastAsia="宋体" w:hAnsi="宋体" w:cs="宋体" w:hint="eastAsia"/>
          <w:spacing w:val="-3"/>
          <w:lang w:eastAsia="zh-CN"/>
        </w:rPr>
        <w:t>欧盟指令EC No.648/2004、欧盟法规《化学品的注册、评估、授权和限制（REACH）》对二牛脂基二甲基氯化铵高度关注，将其列为风险评估活动的优先物质。</w:t>
      </w:r>
    </w:p>
    <w:p w14:paraId="47D883F5" w14:textId="77777777" w:rsidR="00F705BE" w:rsidRDefault="00000000">
      <w:pPr>
        <w:spacing w:beforeLines="50" w:before="120" w:line="360" w:lineRule="auto"/>
        <w:ind w:firstLineChars="200" w:firstLine="414"/>
        <w:rPr>
          <w:rFonts w:ascii="宋体" w:eastAsia="宋体" w:hAnsi="宋体" w:cs="宋体" w:hint="eastAsia"/>
          <w:spacing w:val="-3"/>
          <w:lang w:eastAsia="zh-CN"/>
        </w:rPr>
      </w:pPr>
      <w:r>
        <w:rPr>
          <w:rFonts w:ascii="宋体" w:eastAsia="宋体" w:hAnsi="宋体" w:cs="宋体" w:hint="eastAsia"/>
          <w:spacing w:val="-3"/>
          <w:lang w:eastAsia="zh-CN"/>
        </w:rPr>
        <w:t>在表面活性剂和洗涤用品国际标准体系下，尚没有二牛脂基二甲基氯化铵的检测方法标准。</w:t>
      </w:r>
    </w:p>
    <w:p w14:paraId="584B3ACC" w14:textId="77777777" w:rsidR="00F705BE" w:rsidRDefault="00000000">
      <w:pPr>
        <w:pStyle w:val="a5"/>
        <w:spacing w:before="78" w:line="294" w:lineRule="auto"/>
        <w:ind w:left="20" w:right="87"/>
        <w:outlineLvl w:val="1"/>
        <w:rPr>
          <w:rFonts w:hint="eastAsia"/>
          <w:sz w:val="24"/>
          <w:szCs w:val="24"/>
          <w:lang w:eastAsia="zh-CN"/>
        </w:rPr>
      </w:pPr>
      <w:r>
        <w:rPr>
          <w:b/>
          <w:bCs/>
          <w:spacing w:val="-5"/>
          <w:sz w:val="24"/>
          <w:szCs w:val="24"/>
          <w:lang w:eastAsia="zh-CN"/>
        </w:rPr>
        <w:t>七、标准体系中的位置，与现行相关法律、法规、规章及相关标准，特别是强制</w:t>
      </w:r>
      <w:r>
        <w:rPr>
          <w:b/>
          <w:bCs/>
          <w:spacing w:val="-4"/>
          <w:sz w:val="24"/>
          <w:szCs w:val="24"/>
          <w:lang w:eastAsia="zh-CN"/>
        </w:rPr>
        <w:t>性标准的协调性</w:t>
      </w:r>
    </w:p>
    <w:p w14:paraId="591B9A6C" w14:textId="77777777" w:rsidR="00F705BE" w:rsidRDefault="00000000">
      <w:pPr>
        <w:spacing w:beforeLines="50" w:before="120" w:line="360" w:lineRule="auto"/>
        <w:ind w:firstLineChars="200" w:firstLine="414"/>
        <w:rPr>
          <w:rFonts w:ascii="宋体" w:eastAsia="宋体" w:hAnsi="宋体" w:cs="宋体" w:hint="eastAsia"/>
          <w:spacing w:val="-3"/>
          <w:lang w:eastAsia="zh-CN"/>
        </w:rPr>
      </w:pPr>
      <w:r>
        <w:rPr>
          <w:rFonts w:ascii="宋体" w:eastAsia="宋体" w:hAnsi="宋体" w:cs="宋体" w:hint="eastAsia"/>
          <w:spacing w:val="-3"/>
          <w:lang w:eastAsia="zh-CN"/>
        </w:rPr>
        <w:t>拟制定的标准符合《中华人民共和国标准化法实施条例》第三章第十一条的规定，属于需要在全国范围内统一的通用的试验、检验方法。</w:t>
      </w:r>
    </w:p>
    <w:p w14:paraId="12FFF3CF" w14:textId="77777777" w:rsidR="00F705BE" w:rsidRDefault="00000000">
      <w:pPr>
        <w:spacing w:beforeLines="50" w:before="120" w:line="360" w:lineRule="auto"/>
        <w:ind w:firstLineChars="200" w:firstLine="414"/>
        <w:rPr>
          <w:rFonts w:ascii="宋体" w:eastAsia="宋体" w:hAnsi="宋体" w:cs="宋体" w:hint="eastAsia"/>
          <w:spacing w:val="-3"/>
          <w:lang w:eastAsia="zh-CN"/>
        </w:rPr>
      </w:pPr>
      <w:r>
        <w:rPr>
          <w:rFonts w:ascii="宋体" w:eastAsia="宋体" w:hAnsi="宋体" w:cs="宋体" w:hint="eastAsia"/>
          <w:spacing w:val="-3"/>
          <w:lang w:eastAsia="zh-CN"/>
        </w:rPr>
        <w:t>拟制定的标准属于待发布的强制性标准《洗涤用品安全技术规范》的配套标准，该强制标准附录列出禁用原料目录及含量限值，其中二牛脂基二甲基氯化铵属于禁用原料，含量限值应低于0.1%，但目前尚没有配套的试验标准。</w:t>
      </w:r>
    </w:p>
    <w:p w14:paraId="0039061F" w14:textId="77777777" w:rsidR="00F705BE" w:rsidRDefault="00F705BE">
      <w:pPr>
        <w:spacing w:line="323" w:lineRule="auto"/>
        <w:rPr>
          <w:lang w:eastAsia="zh-CN"/>
        </w:rPr>
      </w:pPr>
    </w:p>
    <w:p w14:paraId="26AC9666" w14:textId="77777777" w:rsidR="00F705BE" w:rsidRDefault="00000000">
      <w:pPr>
        <w:pStyle w:val="a5"/>
        <w:spacing w:line="360" w:lineRule="auto"/>
        <w:outlineLvl w:val="1"/>
        <w:rPr>
          <w:rFonts w:hint="eastAsia"/>
          <w:sz w:val="24"/>
          <w:szCs w:val="24"/>
          <w:lang w:eastAsia="zh-CN"/>
        </w:rPr>
      </w:pPr>
      <w:r>
        <w:rPr>
          <w:b/>
          <w:bCs/>
          <w:spacing w:val="-3"/>
          <w:sz w:val="24"/>
          <w:szCs w:val="24"/>
          <w:lang w:eastAsia="zh-CN"/>
        </w:rPr>
        <w:t>八、重大分歧意见的处理经过和依据</w:t>
      </w:r>
    </w:p>
    <w:p w14:paraId="4612974E" w14:textId="77777777" w:rsidR="00F705BE" w:rsidRDefault="00000000">
      <w:pPr>
        <w:pStyle w:val="a5"/>
        <w:spacing w:line="360" w:lineRule="auto"/>
        <w:ind w:leftChars="108" w:left="227" w:right="11" w:firstLineChars="99" w:firstLine="205"/>
        <w:jc w:val="both"/>
        <w:rPr>
          <w:rFonts w:ascii="Arial" w:hint="eastAsia"/>
          <w:lang w:eastAsia="zh-CN"/>
        </w:rPr>
      </w:pPr>
      <w:r>
        <w:rPr>
          <w:rFonts w:hint="eastAsia"/>
          <w:spacing w:val="-3"/>
          <w:lang w:eastAsia="zh-CN"/>
        </w:rPr>
        <w:t>无</w:t>
      </w:r>
      <w:r>
        <w:rPr>
          <w:spacing w:val="-3"/>
          <w:lang w:eastAsia="zh-CN"/>
        </w:rPr>
        <w:t>。</w:t>
      </w:r>
    </w:p>
    <w:p w14:paraId="524361CD" w14:textId="77777777" w:rsidR="00F705BE" w:rsidRDefault="00F705BE">
      <w:pPr>
        <w:spacing w:line="253" w:lineRule="auto"/>
        <w:rPr>
          <w:rFonts w:ascii="宋体" w:eastAsia="宋体" w:hAnsi="宋体" w:cs="宋体" w:hint="eastAsia"/>
          <w:b/>
          <w:bCs/>
          <w:spacing w:val="-3"/>
          <w:sz w:val="24"/>
          <w:szCs w:val="24"/>
          <w:lang w:eastAsia="zh-CN"/>
        </w:rPr>
      </w:pPr>
    </w:p>
    <w:p w14:paraId="7E0BE6D6" w14:textId="77777777" w:rsidR="00F705BE" w:rsidRDefault="00000000">
      <w:pPr>
        <w:pStyle w:val="a5"/>
        <w:spacing w:line="360" w:lineRule="auto"/>
        <w:outlineLvl w:val="1"/>
        <w:rPr>
          <w:rFonts w:hint="eastAsia"/>
          <w:b/>
          <w:bCs/>
          <w:spacing w:val="-3"/>
          <w:sz w:val="24"/>
          <w:szCs w:val="24"/>
          <w:lang w:eastAsia="zh-CN"/>
        </w:rPr>
      </w:pPr>
      <w:r>
        <w:rPr>
          <w:b/>
          <w:bCs/>
          <w:spacing w:val="-3"/>
          <w:sz w:val="24"/>
          <w:szCs w:val="24"/>
          <w:lang w:eastAsia="zh-CN"/>
        </w:rPr>
        <w:t>九、标准性质的建议和说明</w:t>
      </w:r>
    </w:p>
    <w:p w14:paraId="29A39921" w14:textId="77777777" w:rsidR="00F705BE" w:rsidRDefault="00000000">
      <w:pPr>
        <w:pStyle w:val="a5"/>
        <w:spacing w:line="360" w:lineRule="auto"/>
        <w:ind w:firstLineChars="200" w:firstLine="414"/>
        <w:rPr>
          <w:rFonts w:ascii="Arial" w:hint="eastAsia"/>
          <w:lang w:eastAsia="zh-CN"/>
        </w:rPr>
      </w:pPr>
      <w:r>
        <w:rPr>
          <w:spacing w:val="-3"/>
          <w:lang w:eastAsia="zh-CN"/>
        </w:rPr>
        <w:t>建议本标准以推荐性国家标准的形式发布。</w:t>
      </w:r>
    </w:p>
    <w:p w14:paraId="0436445C" w14:textId="77777777" w:rsidR="00F705BE" w:rsidRDefault="00000000">
      <w:pPr>
        <w:pStyle w:val="a5"/>
        <w:spacing w:before="78" w:line="360" w:lineRule="auto"/>
        <w:ind w:left="21"/>
        <w:outlineLvl w:val="1"/>
        <w:rPr>
          <w:rFonts w:hint="eastAsia"/>
          <w:sz w:val="24"/>
          <w:szCs w:val="24"/>
          <w:lang w:eastAsia="zh-CN"/>
        </w:rPr>
      </w:pPr>
      <w:r>
        <w:rPr>
          <w:b/>
          <w:bCs/>
          <w:spacing w:val="-3"/>
          <w:sz w:val="24"/>
          <w:szCs w:val="24"/>
          <w:lang w:eastAsia="zh-CN"/>
        </w:rPr>
        <w:t>十、贯彻标准的要求和措施建议</w:t>
      </w:r>
    </w:p>
    <w:p w14:paraId="30E927D5" w14:textId="77777777" w:rsidR="00F705BE" w:rsidRDefault="00000000">
      <w:pPr>
        <w:pStyle w:val="a5"/>
        <w:spacing w:before="106" w:line="360" w:lineRule="auto"/>
        <w:ind w:left="18" w:right="11" w:firstLine="436"/>
        <w:rPr>
          <w:rFonts w:ascii="Arial" w:hint="eastAsia"/>
          <w:lang w:eastAsia="zh-CN"/>
        </w:rPr>
      </w:pPr>
      <w:r>
        <w:rPr>
          <w:spacing w:val="-3"/>
          <w:lang w:eastAsia="zh-CN"/>
        </w:rPr>
        <w:t>建议本标准于发布</w:t>
      </w:r>
      <w:r>
        <w:rPr>
          <w:rFonts w:hint="eastAsia"/>
          <w:spacing w:val="-3"/>
          <w:lang w:eastAsia="zh-CN"/>
        </w:rPr>
        <w:t>3</w:t>
      </w:r>
      <w:r>
        <w:rPr>
          <w:spacing w:val="-3"/>
          <w:lang w:eastAsia="zh-CN"/>
        </w:rPr>
        <w:t>个月后实施。全国</w:t>
      </w:r>
      <w:r>
        <w:rPr>
          <w:rFonts w:hint="eastAsia"/>
          <w:spacing w:val="-3"/>
          <w:lang w:eastAsia="zh-CN"/>
        </w:rPr>
        <w:t>表面活性剂和洗涤剂</w:t>
      </w:r>
      <w:r>
        <w:rPr>
          <w:spacing w:val="-3"/>
          <w:lang w:eastAsia="zh-CN"/>
        </w:rPr>
        <w:t>标准</w:t>
      </w:r>
      <w:r>
        <w:rPr>
          <w:spacing w:val="-4"/>
          <w:lang w:eastAsia="zh-CN"/>
        </w:rPr>
        <w:t>化技术委员</w:t>
      </w:r>
      <w:r>
        <w:rPr>
          <w:spacing w:val="-3"/>
          <w:lang w:eastAsia="zh-CN"/>
        </w:rPr>
        <w:t>会负责组织该项标准的宣贯工作。</w:t>
      </w:r>
    </w:p>
    <w:p w14:paraId="7BA9E8DF" w14:textId="77777777" w:rsidR="00F705BE" w:rsidRDefault="00000000">
      <w:pPr>
        <w:pStyle w:val="a5"/>
        <w:spacing w:before="78" w:line="360" w:lineRule="auto"/>
        <w:ind w:left="21"/>
        <w:outlineLvl w:val="1"/>
        <w:rPr>
          <w:rFonts w:hint="eastAsia"/>
          <w:sz w:val="24"/>
          <w:szCs w:val="24"/>
          <w:lang w:eastAsia="zh-CN"/>
        </w:rPr>
      </w:pPr>
      <w:r>
        <w:rPr>
          <w:b/>
          <w:bCs/>
          <w:spacing w:val="-4"/>
          <w:sz w:val="24"/>
          <w:szCs w:val="24"/>
          <w:lang w:eastAsia="zh-CN"/>
        </w:rPr>
        <w:t>十一、废止现行相关标准的建议</w:t>
      </w:r>
    </w:p>
    <w:p w14:paraId="4057B2B1" w14:textId="77777777" w:rsidR="00F705BE" w:rsidRDefault="00000000">
      <w:pPr>
        <w:pStyle w:val="a5"/>
        <w:spacing w:before="104" w:line="360" w:lineRule="auto"/>
        <w:ind w:left="456"/>
        <w:rPr>
          <w:rFonts w:ascii="Arial" w:hint="eastAsia"/>
          <w:lang w:eastAsia="zh-CN"/>
        </w:rPr>
      </w:pPr>
      <w:r>
        <w:rPr>
          <w:spacing w:val="-3"/>
          <w:lang w:eastAsia="zh-CN"/>
        </w:rPr>
        <w:t>无。</w:t>
      </w:r>
    </w:p>
    <w:p w14:paraId="7F6EF78E" w14:textId="77777777" w:rsidR="00F705BE" w:rsidRDefault="00000000">
      <w:pPr>
        <w:pStyle w:val="a5"/>
        <w:spacing w:before="78" w:line="360" w:lineRule="auto"/>
        <w:ind w:left="21"/>
        <w:outlineLvl w:val="1"/>
        <w:rPr>
          <w:rFonts w:hint="eastAsia"/>
          <w:sz w:val="24"/>
          <w:szCs w:val="24"/>
          <w:lang w:eastAsia="zh-CN"/>
        </w:rPr>
      </w:pPr>
      <w:r>
        <w:rPr>
          <w:b/>
          <w:bCs/>
          <w:spacing w:val="-3"/>
          <w:sz w:val="24"/>
          <w:szCs w:val="24"/>
          <w:lang w:eastAsia="zh-CN"/>
        </w:rPr>
        <w:t>十二、其它应予说明的事项</w:t>
      </w:r>
    </w:p>
    <w:p w14:paraId="5F1BF8D2" w14:textId="77777777" w:rsidR="00F705BE" w:rsidRDefault="00000000">
      <w:pPr>
        <w:pStyle w:val="a5"/>
        <w:spacing w:before="103" w:line="360" w:lineRule="auto"/>
        <w:ind w:left="453"/>
        <w:rPr>
          <w:rFonts w:hint="eastAsia"/>
        </w:rPr>
      </w:pPr>
      <w:r>
        <w:rPr>
          <w:spacing w:val="-10"/>
        </w:rPr>
        <w:t>无。</w:t>
      </w:r>
    </w:p>
    <w:sectPr w:rsidR="00F705BE">
      <w:headerReference w:type="default" r:id="rId11"/>
      <w:pgSz w:w="11905" w:h="16840"/>
      <w:pgMar w:top="1423" w:right="1134" w:bottom="1417" w:left="1134"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86FE" w14:textId="77777777" w:rsidR="008C4831" w:rsidRDefault="008C4831">
      <w:r>
        <w:separator/>
      </w:r>
    </w:p>
  </w:endnote>
  <w:endnote w:type="continuationSeparator" w:id="0">
    <w:p w14:paraId="2834336D" w14:textId="77777777" w:rsidR="008C4831" w:rsidRDefault="008C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229B" w14:textId="77777777" w:rsidR="008C4831" w:rsidRDefault="008C4831">
      <w:r>
        <w:separator/>
      </w:r>
    </w:p>
  </w:footnote>
  <w:footnote w:type="continuationSeparator" w:id="0">
    <w:p w14:paraId="24B680B9" w14:textId="77777777" w:rsidR="008C4831" w:rsidRDefault="008C4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14166" w14:textId="77777777" w:rsidR="00F705BE" w:rsidRDefault="00F705BE">
    <w:pPr>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2F981"/>
    <w:multiLevelType w:val="multilevel"/>
    <w:tmpl w:val="8132F981"/>
    <w:lvl w:ilvl="0">
      <w:start w:val="1"/>
      <w:numFmt w:val="upperLetter"/>
      <w:suff w:val="space"/>
      <w:lvlText w:val="%1"/>
      <w:lvlJc w:val="left"/>
      <w:pPr>
        <w:ind w:left="425" w:hanging="425"/>
      </w:pPr>
      <w:rPr>
        <w:rFonts w:hint="eastAsia"/>
      </w:rPr>
    </w:lvl>
    <w:lvl w:ilvl="1">
      <w:start w:val="1"/>
      <w:numFmt w:val="decimal"/>
      <w:pStyle w:val="a"/>
      <w:suff w:val="space"/>
      <w:lvlText w:val="表%2"/>
      <w:lvlJc w:val="center"/>
      <w:pPr>
        <w:tabs>
          <w:tab w:val="left" w:pos="0"/>
        </w:tabs>
        <w:ind w:left="0" w:firstLine="0"/>
      </w:pPr>
      <w:rPr>
        <w:rFonts w:ascii="黑体" w:eastAsia="黑体" w:hint="default"/>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96201491"/>
    <w:multiLevelType w:val="singleLevel"/>
    <w:tmpl w:val="96201491"/>
    <w:lvl w:ilvl="0">
      <w:start w:val="1"/>
      <w:numFmt w:val="decimal"/>
      <w:lvlText w:val="2.%1"/>
      <w:lvlJc w:val="left"/>
      <w:pPr>
        <w:tabs>
          <w:tab w:val="left" w:pos="397"/>
        </w:tabs>
        <w:ind w:left="510" w:hanging="510"/>
      </w:pPr>
      <w:rPr>
        <w:rFonts w:hint="default"/>
      </w:rPr>
    </w:lvl>
  </w:abstractNum>
  <w:abstractNum w:abstractNumId="2" w15:restartNumberingAfterBreak="0">
    <w:nsid w:val="B2E912E6"/>
    <w:multiLevelType w:val="singleLevel"/>
    <w:tmpl w:val="B2E912E6"/>
    <w:lvl w:ilvl="0">
      <w:start w:val="1"/>
      <w:numFmt w:val="decimal"/>
      <w:suff w:val="space"/>
      <w:lvlText w:val="2.2.%1"/>
      <w:lvlJc w:val="left"/>
      <w:pPr>
        <w:ind w:left="0" w:firstLine="0"/>
      </w:pPr>
      <w:rPr>
        <w:rFonts w:hint="default"/>
      </w:rPr>
    </w:lvl>
  </w:abstractNum>
  <w:abstractNum w:abstractNumId="3" w15:restartNumberingAfterBreak="0">
    <w:nsid w:val="B41398DE"/>
    <w:multiLevelType w:val="singleLevel"/>
    <w:tmpl w:val="B41398DE"/>
    <w:lvl w:ilvl="0">
      <w:start w:val="1"/>
      <w:numFmt w:val="decimal"/>
      <w:lvlText w:val="(%1)"/>
      <w:lvlJc w:val="left"/>
      <w:pPr>
        <w:tabs>
          <w:tab w:val="left" w:pos="397"/>
        </w:tabs>
        <w:ind w:left="454" w:hanging="454"/>
      </w:pPr>
      <w:rPr>
        <w:rFonts w:hint="default"/>
      </w:rPr>
    </w:lvl>
  </w:abstractNum>
  <w:abstractNum w:abstractNumId="4" w15:restartNumberingAfterBreak="0">
    <w:nsid w:val="2C5917C3"/>
    <w:multiLevelType w:val="multilevel"/>
    <w:tmpl w:val="2C5917C3"/>
    <w:lvl w:ilvl="0">
      <w:start w:val="1"/>
      <w:numFmt w:val="none"/>
      <w:pStyle w:val="a0"/>
      <w:lvlText w:val="%1——"/>
      <w:lvlJc w:val="left"/>
      <w:pPr>
        <w:tabs>
          <w:tab w:val="left" w:pos="851"/>
        </w:tabs>
        <w:ind w:left="851"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5" w15:restartNumberingAfterBreak="0">
    <w:nsid w:val="37373A15"/>
    <w:multiLevelType w:val="singleLevel"/>
    <w:tmpl w:val="37373A15"/>
    <w:lvl w:ilvl="0">
      <w:start w:val="1"/>
      <w:numFmt w:val="decimal"/>
      <w:lvlText w:val="3.%1"/>
      <w:lvlJc w:val="left"/>
      <w:pPr>
        <w:tabs>
          <w:tab w:val="left" w:pos="397"/>
        </w:tabs>
        <w:ind w:left="454" w:hanging="454"/>
      </w:pPr>
      <w:rPr>
        <w:rFonts w:hint="default"/>
      </w:rPr>
    </w:lvl>
  </w:abstractNum>
  <w:abstractNum w:abstractNumId="6" w15:restartNumberingAfterBreak="0">
    <w:nsid w:val="73557412"/>
    <w:multiLevelType w:val="singleLevel"/>
    <w:tmpl w:val="73557412"/>
    <w:lvl w:ilvl="0">
      <w:start w:val="1"/>
      <w:numFmt w:val="decimal"/>
      <w:suff w:val="nothing"/>
      <w:lvlText w:val="1.%1"/>
      <w:lvlJc w:val="left"/>
      <w:pPr>
        <w:tabs>
          <w:tab w:val="left" w:pos="0"/>
        </w:tabs>
        <w:ind w:left="0" w:firstLine="0"/>
      </w:pPr>
      <w:rPr>
        <w:rFonts w:hint="default"/>
      </w:rPr>
    </w:lvl>
  </w:abstractNum>
  <w:num w:numId="1" w16cid:durableId="649527764">
    <w:abstractNumId w:val="0"/>
  </w:num>
  <w:num w:numId="2" w16cid:durableId="178785200">
    <w:abstractNumId w:val="4"/>
  </w:num>
  <w:num w:numId="3" w16cid:durableId="312174822">
    <w:abstractNumId w:val="6"/>
  </w:num>
  <w:num w:numId="4" w16cid:durableId="2100323830">
    <w:abstractNumId w:val="1"/>
  </w:num>
  <w:num w:numId="5" w16cid:durableId="2005665063">
    <w:abstractNumId w:val="2"/>
  </w:num>
  <w:num w:numId="6" w16cid:durableId="631910081">
    <w:abstractNumId w:val="3"/>
  </w:num>
  <w:num w:numId="7" w16cid:durableId="15085965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4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BE"/>
    <w:rsid w:val="000C775F"/>
    <w:rsid w:val="001A6515"/>
    <w:rsid w:val="001E027B"/>
    <w:rsid w:val="008C4831"/>
    <w:rsid w:val="00A30C09"/>
    <w:rsid w:val="00A86A4F"/>
    <w:rsid w:val="00F705BE"/>
    <w:rsid w:val="00FC6298"/>
    <w:rsid w:val="02E848F8"/>
    <w:rsid w:val="04B74C29"/>
    <w:rsid w:val="0649600F"/>
    <w:rsid w:val="07385D22"/>
    <w:rsid w:val="075E313A"/>
    <w:rsid w:val="07D72EEC"/>
    <w:rsid w:val="07F752A5"/>
    <w:rsid w:val="0A044046"/>
    <w:rsid w:val="0A0631CF"/>
    <w:rsid w:val="0A0C1573"/>
    <w:rsid w:val="0AD12009"/>
    <w:rsid w:val="0BE77385"/>
    <w:rsid w:val="0C605BA6"/>
    <w:rsid w:val="0CE3096D"/>
    <w:rsid w:val="0D4A7718"/>
    <w:rsid w:val="0F18046C"/>
    <w:rsid w:val="10044A9B"/>
    <w:rsid w:val="10A57734"/>
    <w:rsid w:val="11162CD7"/>
    <w:rsid w:val="112A6E39"/>
    <w:rsid w:val="11AE0816"/>
    <w:rsid w:val="14733F9D"/>
    <w:rsid w:val="15AB60E4"/>
    <w:rsid w:val="15FC745D"/>
    <w:rsid w:val="162C6305"/>
    <w:rsid w:val="17571954"/>
    <w:rsid w:val="19E962F6"/>
    <w:rsid w:val="1A5B42DA"/>
    <w:rsid w:val="1A805249"/>
    <w:rsid w:val="1A9A1B18"/>
    <w:rsid w:val="1B1C7DC9"/>
    <w:rsid w:val="1B817FB8"/>
    <w:rsid w:val="1BFC2ACA"/>
    <w:rsid w:val="1C7A6810"/>
    <w:rsid w:val="1CBE05B7"/>
    <w:rsid w:val="1CF33ECD"/>
    <w:rsid w:val="1E8C6387"/>
    <w:rsid w:val="1EEF687A"/>
    <w:rsid w:val="1FDD009B"/>
    <w:rsid w:val="211B1C44"/>
    <w:rsid w:val="229D4C42"/>
    <w:rsid w:val="23456D2D"/>
    <w:rsid w:val="23E8377D"/>
    <w:rsid w:val="248D10AB"/>
    <w:rsid w:val="24961D0D"/>
    <w:rsid w:val="28B05368"/>
    <w:rsid w:val="29161A85"/>
    <w:rsid w:val="2A6E1037"/>
    <w:rsid w:val="2A7570ED"/>
    <w:rsid w:val="2CB71FF6"/>
    <w:rsid w:val="2CDF7FCA"/>
    <w:rsid w:val="2D4A661B"/>
    <w:rsid w:val="2DBB0A37"/>
    <w:rsid w:val="2DF1306D"/>
    <w:rsid w:val="2E051CB2"/>
    <w:rsid w:val="2EB001C3"/>
    <w:rsid w:val="30395B5A"/>
    <w:rsid w:val="327B0795"/>
    <w:rsid w:val="35551771"/>
    <w:rsid w:val="373544F8"/>
    <w:rsid w:val="380803DD"/>
    <w:rsid w:val="38441904"/>
    <w:rsid w:val="3934169D"/>
    <w:rsid w:val="39643D30"/>
    <w:rsid w:val="3BD723CC"/>
    <w:rsid w:val="3C0D4B53"/>
    <w:rsid w:val="3C943F1F"/>
    <w:rsid w:val="3CD82F64"/>
    <w:rsid w:val="3DCE38C6"/>
    <w:rsid w:val="3DEF4647"/>
    <w:rsid w:val="3EE83100"/>
    <w:rsid w:val="417371E8"/>
    <w:rsid w:val="421107CE"/>
    <w:rsid w:val="42876CE2"/>
    <w:rsid w:val="42AE24C0"/>
    <w:rsid w:val="42CC32C1"/>
    <w:rsid w:val="42DE7D4D"/>
    <w:rsid w:val="437F7AB3"/>
    <w:rsid w:val="43EF5CE0"/>
    <w:rsid w:val="43F959BD"/>
    <w:rsid w:val="447A1390"/>
    <w:rsid w:val="45185C6B"/>
    <w:rsid w:val="45EC3A2B"/>
    <w:rsid w:val="475A49C5"/>
    <w:rsid w:val="478A0E65"/>
    <w:rsid w:val="47AB54F0"/>
    <w:rsid w:val="492F56F0"/>
    <w:rsid w:val="497A45D7"/>
    <w:rsid w:val="4D2E2B7B"/>
    <w:rsid w:val="4D5048A0"/>
    <w:rsid w:val="4F9F1A62"/>
    <w:rsid w:val="4FA82B06"/>
    <w:rsid w:val="51274842"/>
    <w:rsid w:val="5167040A"/>
    <w:rsid w:val="5373753A"/>
    <w:rsid w:val="539179C0"/>
    <w:rsid w:val="53D0673A"/>
    <w:rsid w:val="561C67AB"/>
    <w:rsid w:val="57145D44"/>
    <w:rsid w:val="575F33B6"/>
    <w:rsid w:val="57671C2C"/>
    <w:rsid w:val="57747180"/>
    <w:rsid w:val="5872743A"/>
    <w:rsid w:val="58E91760"/>
    <w:rsid w:val="59C53F20"/>
    <w:rsid w:val="59EB2685"/>
    <w:rsid w:val="5A137381"/>
    <w:rsid w:val="5A167004"/>
    <w:rsid w:val="5A6220B6"/>
    <w:rsid w:val="5B411CCC"/>
    <w:rsid w:val="5CB364D3"/>
    <w:rsid w:val="5FC04C82"/>
    <w:rsid w:val="5FE377F5"/>
    <w:rsid w:val="6038228F"/>
    <w:rsid w:val="60930E2F"/>
    <w:rsid w:val="60C912DE"/>
    <w:rsid w:val="61365838"/>
    <w:rsid w:val="6148108C"/>
    <w:rsid w:val="62F30C76"/>
    <w:rsid w:val="637D38A3"/>
    <w:rsid w:val="63C26E8C"/>
    <w:rsid w:val="64A41BEF"/>
    <w:rsid w:val="653F56B9"/>
    <w:rsid w:val="6544290D"/>
    <w:rsid w:val="658D1240"/>
    <w:rsid w:val="671437EA"/>
    <w:rsid w:val="67D11A02"/>
    <w:rsid w:val="68520577"/>
    <w:rsid w:val="6857605C"/>
    <w:rsid w:val="68CC1000"/>
    <w:rsid w:val="6AF7374C"/>
    <w:rsid w:val="6C341A91"/>
    <w:rsid w:val="6C3E503D"/>
    <w:rsid w:val="6DC77727"/>
    <w:rsid w:val="6E6236FD"/>
    <w:rsid w:val="6ED22F0F"/>
    <w:rsid w:val="702C0D33"/>
    <w:rsid w:val="717C53B4"/>
    <w:rsid w:val="719368B3"/>
    <w:rsid w:val="72A2661A"/>
    <w:rsid w:val="73C3376E"/>
    <w:rsid w:val="765362CF"/>
    <w:rsid w:val="769E73E4"/>
    <w:rsid w:val="7849132B"/>
    <w:rsid w:val="7DF96D7D"/>
    <w:rsid w:val="7EBB39C0"/>
    <w:rsid w:val="7F732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3B5371C"/>
  <w15:docId w15:val="{27E6E7FF-848B-4D1E-BC36-0C303325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semiHidden/>
    <w:qFormat/>
    <w:rPr>
      <w:rFonts w:ascii="宋体" w:eastAsia="宋体" w:hAnsi="宋体" w:cs="宋体"/>
    </w:rPr>
  </w:style>
  <w:style w:type="table" w:styleId="a6">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2"/>
    <w:qFormat/>
    <w:rPr>
      <w:i/>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1"/>
    <w:semiHidden/>
    <w:qFormat/>
    <w:rPr>
      <w:rFonts w:ascii="Times New Roman" w:eastAsia="Times New Roman" w:hAnsi="Times New Roman" w:cs="Times New Roman"/>
      <w:sz w:val="18"/>
      <w:szCs w:val="18"/>
    </w:rPr>
  </w:style>
  <w:style w:type="paragraph" w:customStyle="1" w:styleId="a8">
    <w:name w:val="标准文件_段"/>
    <w:qFormat/>
    <w:pPr>
      <w:autoSpaceDE w:val="0"/>
      <w:autoSpaceDN w:val="0"/>
      <w:ind w:firstLineChars="200" w:firstLine="200"/>
      <w:jc w:val="both"/>
    </w:pPr>
    <w:rPr>
      <w:rFonts w:ascii="宋体"/>
      <w:sz w:val="21"/>
    </w:rPr>
  </w:style>
  <w:style w:type="paragraph" w:styleId="a9">
    <w:name w:val="List Paragraph"/>
    <w:basedOn w:val="a1"/>
    <w:uiPriority w:val="34"/>
    <w:qFormat/>
    <w:pPr>
      <w:ind w:firstLineChars="200" w:firstLine="420"/>
    </w:pPr>
    <w:rPr>
      <w:rFonts w:ascii="Times New Roman" w:eastAsia="宋体" w:hAnsi="Times New Roman" w:cs="Times New Roman"/>
      <w:szCs w:val="24"/>
    </w:rPr>
  </w:style>
  <w:style w:type="paragraph" w:customStyle="1" w:styleId="a">
    <w:name w:val="标准文件_附录表标题"/>
    <w:next w:val="a8"/>
    <w:qFormat/>
    <w:pPr>
      <w:numPr>
        <w:ilvl w:val="1"/>
        <w:numId w:val="1"/>
      </w:numPr>
      <w:adjustRightInd w:val="0"/>
      <w:snapToGrid w:val="0"/>
      <w:spacing w:beforeLines="50" w:before="50" w:afterLines="50" w:after="50"/>
      <w:jc w:val="center"/>
      <w:textAlignment w:val="baseline"/>
    </w:pPr>
    <w:rPr>
      <w:rFonts w:ascii="黑体" w:eastAsia="黑体"/>
      <w:kern w:val="21"/>
      <w:sz w:val="21"/>
    </w:rPr>
  </w:style>
  <w:style w:type="character" w:customStyle="1" w:styleId="font01">
    <w:name w:val="font01"/>
    <w:basedOn w:val="a2"/>
    <w:qFormat/>
    <w:rPr>
      <w:rFonts w:ascii="宋体" w:eastAsia="宋体" w:hAnsi="宋体" w:cs="宋体" w:hint="eastAsia"/>
      <w:color w:val="000000"/>
      <w:sz w:val="22"/>
      <w:szCs w:val="22"/>
      <w:u w:val="none"/>
    </w:rPr>
  </w:style>
  <w:style w:type="character" w:customStyle="1" w:styleId="font11">
    <w:name w:val="font11"/>
    <w:basedOn w:val="a2"/>
    <w:qFormat/>
    <w:rPr>
      <w:rFonts w:ascii="Times New Roman" w:hAnsi="Times New Roman" w:cs="Times New Roman" w:hint="default"/>
      <w:color w:val="000000"/>
      <w:sz w:val="22"/>
      <w:szCs w:val="22"/>
      <w:u w:val="none"/>
    </w:rPr>
  </w:style>
  <w:style w:type="character" w:customStyle="1" w:styleId="font31">
    <w:name w:val="font31"/>
    <w:basedOn w:val="a2"/>
    <w:qFormat/>
    <w:rPr>
      <w:rFonts w:ascii="Times New Roman" w:hAnsi="Times New Roman" w:cs="Times New Roman" w:hint="default"/>
      <w:color w:val="FF0000"/>
      <w:sz w:val="22"/>
      <w:szCs w:val="22"/>
      <w:u w:val="none"/>
    </w:rPr>
  </w:style>
  <w:style w:type="paragraph" w:customStyle="1" w:styleId="a0">
    <w:name w:val="标准文件_一级项"/>
    <w:qFormat/>
    <w:pPr>
      <w:numPr>
        <w:numId w:val="2"/>
      </w:numPr>
    </w:pPr>
    <w:rPr>
      <w:rFonts w:ascii="宋体"/>
      <w:sz w:val="21"/>
    </w:rPr>
  </w:style>
  <w:style w:type="paragraph" w:styleId="aa">
    <w:name w:val="header"/>
    <w:basedOn w:val="a1"/>
    <w:link w:val="ab"/>
    <w:rsid w:val="00FC6298"/>
    <w:pPr>
      <w:tabs>
        <w:tab w:val="center" w:pos="4153"/>
        <w:tab w:val="right" w:pos="8306"/>
      </w:tabs>
      <w:jc w:val="center"/>
    </w:pPr>
    <w:rPr>
      <w:sz w:val="18"/>
      <w:szCs w:val="18"/>
    </w:rPr>
  </w:style>
  <w:style w:type="character" w:customStyle="1" w:styleId="ab">
    <w:name w:val="页眉 字符"/>
    <w:basedOn w:val="a2"/>
    <w:link w:val="aa"/>
    <w:rsid w:val="00FC6298"/>
    <w:rPr>
      <w:rFonts w:ascii="Arial" w:eastAsia="Arial" w:hAnsi="Arial" w:cs="Arial"/>
      <w:snapToGrid w:val="0"/>
      <w:color w:val="000000"/>
      <w:sz w:val="18"/>
      <w:szCs w:val="18"/>
      <w:lang w:eastAsia="en-US"/>
    </w:rPr>
  </w:style>
  <w:style w:type="paragraph" w:styleId="ac">
    <w:name w:val="footer"/>
    <w:basedOn w:val="a1"/>
    <w:link w:val="ad"/>
    <w:rsid w:val="00FC6298"/>
    <w:pPr>
      <w:tabs>
        <w:tab w:val="center" w:pos="4153"/>
        <w:tab w:val="right" w:pos="8306"/>
      </w:tabs>
    </w:pPr>
    <w:rPr>
      <w:sz w:val="18"/>
      <w:szCs w:val="18"/>
    </w:rPr>
  </w:style>
  <w:style w:type="character" w:customStyle="1" w:styleId="ad">
    <w:name w:val="页脚 字符"/>
    <w:basedOn w:val="a2"/>
    <w:link w:val="ac"/>
    <w:rsid w:val="00FC6298"/>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2955</Words>
  <Characters>3931</Characters>
  <Application>Microsoft Office Word</Application>
  <DocSecurity>0</DocSecurity>
  <Lines>206</Lines>
  <Paragraphs>255</Paragraphs>
  <ScaleCrop>false</ScaleCrop>
  <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&lt;B8BDBCFE34A1B6CFFBB6BEBCC1D6D0BCBEEFA7D1CEB5C4B2E2B6A820D2BACFE0C9ABC6D72DB4AEC1AAD6CAC6D7B7A8A1B7A3A8D5F7C7F3D2E2BCFBB8E5A3A9B1E0D6C6CBB5C3F72E646F63&gt;</dc:title>
  <dc:creator>Administrator</dc:creator>
  <cp:lastModifiedBy>姚晨之</cp:lastModifiedBy>
  <cp:revision>3</cp:revision>
  <dcterms:created xsi:type="dcterms:W3CDTF">2025-08-07T07:06:00Z</dcterms:created>
  <dcterms:modified xsi:type="dcterms:W3CDTF">2025-08-07T07:32:00Z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2025-07-10T08:15:25Z</vt:filetime>
  </property>
  <property fmtid="{D5CDD505-2E9C-101B-9397-08002B2CF9AE}" pid="4" name="KSOTemplateDocerSaveRecord">
    <vt:lpwstr>eyJoZGlkIjoiZDhiNjc0YzQ5NTZiMzI1NWEwNjNlMDAzMjFjZTIyYWQiLCJ1c2VySWQiOiIxNjkzMzQwNTUwIn0=</vt:lpwstr>
  </property>
  <property fmtid="{D5CDD505-2E9C-101B-9397-08002B2CF9AE}" pid="5" name="KSOProductBuildVer">
    <vt:lpwstr>2052-12.1.0.20784</vt:lpwstr>
  </property>
  <property fmtid="{D5CDD505-2E9C-101B-9397-08002B2CF9AE}" pid="6" name="ICV">
    <vt:lpwstr>AE47BEC142F94256872F18DCA556023E_13</vt:lpwstr>
  </property>
</Properties>
</file>